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F7F" w:rsidRPr="00331DC0" w:rsidRDefault="00261F7F" w:rsidP="00D81238">
      <w:pPr>
        <w:ind w:right="-101"/>
        <w:jc w:val="both"/>
        <w:rPr>
          <w:b/>
        </w:rPr>
      </w:pPr>
      <w:r w:rsidRPr="00331DC0">
        <w:rPr>
          <w:b/>
        </w:rPr>
        <w:t>Република Србија</w:t>
      </w:r>
    </w:p>
    <w:p w:rsidR="008C5694" w:rsidRDefault="008C5694" w:rsidP="00D81238">
      <w:pPr>
        <w:ind w:right="-101"/>
        <w:jc w:val="both"/>
      </w:pPr>
    </w:p>
    <w:p w:rsidR="008C5694" w:rsidRPr="00331DC0" w:rsidRDefault="008C5694" w:rsidP="00D81238">
      <w:pPr>
        <w:ind w:right="-101"/>
        <w:jc w:val="both"/>
        <w:rPr>
          <w:b/>
        </w:rPr>
      </w:pPr>
      <w:r w:rsidRPr="00331DC0">
        <w:rPr>
          <w:b/>
        </w:rPr>
        <w:t>Агенција за борбу против корупције</w:t>
      </w:r>
    </w:p>
    <w:p w:rsidR="008C5694" w:rsidRDefault="008C5694" w:rsidP="00D81238">
      <w:pPr>
        <w:ind w:right="-101"/>
        <w:jc w:val="both"/>
      </w:pPr>
      <w:r>
        <w:t>Царице Милице 1</w:t>
      </w:r>
    </w:p>
    <w:p w:rsidR="008F39DB" w:rsidRPr="008F39DB" w:rsidRDefault="008F39DB" w:rsidP="00D81238">
      <w:pPr>
        <w:ind w:right="-101"/>
        <w:jc w:val="both"/>
        <w:rPr>
          <w:lang w:val="sr-Cyrl-CS"/>
        </w:rPr>
      </w:pPr>
      <w:r>
        <w:rPr>
          <w:lang w:val="sr-Cyrl-CS"/>
        </w:rPr>
        <w:t>Београд</w:t>
      </w:r>
    </w:p>
    <w:p w:rsidR="008C5694" w:rsidRDefault="008C5694" w:rsidP="00D81238">
      <w:pPr>
        <w:ind w:right="-101"/>
        <w:jc w:val="both"/>
      </w:pPr>
    </w:p>
    <w:p w:rsidR="00331DC0" w:rsidRPr="00331DC0" w:rsidRDefault="00331DC0" w:rsidP="00D81238">
      <w:pPr>
        <w:ind w:right="-101"/>
        <w:jc w:val="both"/>
        <w:rPr>
          <w:b/>
        </w:rPr>
      </w:pPr>
      <w:r w:rsidRPr="00331DC0">
        <w:rPr>
          <w:b/>
        </w:rPr>
        <w:t>Државна ревизорска институција</w:t>
      </w:r>
    </w:p>
    <w:p w:rsidR="00331DC0" w:rsidRDefault="00331DC0" w:rsidP="00D81238">
      <w:pPr>
        <w:ind w:right="-101"/>
        <w:jc w:val="both"/>
        <w:rPr>
          <w:lang w:val="sr-Cyrl-CS"/>
        </w:rPr>
      </w:pPr>
      <w:r>
        <w:t xml:space="preserve">Макензијева </w:t>
      </w:r>
      <w:r w:rsidR="008F39DB">
        <w:t>41</w:t>
      </w:r>
    </w:p>
    <w:p w:rsidR="008F39DB" w:rsidRPr="008F39DB" w:rsidRDefault="008F39DB" w:rsidP="00D81238">
      <w:pPr>
        <w:ind w:right="-101"/>
        <w:jc w:val="both"/>
        <w:rPr>
          <w:lang w:val="sr-Cyrl-CS"/>
        </w:rPr>
      </w:pPr>
      <w:r>
        <w:rPr>
          <w:lang w:val="sr-Cyrl-CS"/>
        </w:rPr>
        <w:t>Београд</w:t>
      </w:r>
    </w:p>
    <w:p w:rsidR="00331DC0" w:rsidRDefault="00331DC0" w:rsidP="00D81238">
      <w:pPr>
        <w:ind w:right="-101"/>
        <w:jc w:val="both"/>
      </w:pPr>
    </w:p>
    <w:p w:rsidR="008C5694" w:rsidRPr="00331DC0" w:rsidRDefault="008C5694" w:rsidP="00D81238">
      <w:pPr>
        <w:ind w:right="-101"/>
        <w:jc w:val="both"/>
        <w:rPr>
          <w:b/>
        </w:rPr>
      </w:pPr>
      <w:r w:rsidRPr="00331DC0">
        <w:rPr>
          <w:b/>
        </w:rPr>
        <w:t>Повереник за информације од јавног значаја и заштиту података о личности</w:t>
      </w:r>
    </w:p>
    <w:p w:rsidR="008C5694" w:rsidRDefault="008C5694" w:rsidP="00D81238">
      <w:pPr>
        <w:ind w:right="-101"/>
        <w:jc w:val="both"/>
        <w:rPr>
          <w:lang w:val="sr-Cyrl-CS"/>
        </w:rPr>
      </w:pPr>
      <w:r>
        <w:t>Светозара Марковића 38</w:t>
      </w:r>
    </w:p>
    <w:p w:rsidR="008F39DB" w:rsidRPr="008F39DB" w:rsidRDefault="008F39DB" w:rsidP="00D81238">
      <w:pPr>
        <w:ind w:right="-101"/>
        <w:jc w:val="both"/>
        <w:rPr>
          <w:lang w:val="sr-Cyrl-CS"/>
        </w:rPr>
      </w:pPr>
      <w:r>
        <w:rPr>
          <w:lang w:val="sr-Cyrl-CS"/>
        </w:rPr>
        <w:t>Београд</w:t>
      </w:r>
    </w:p>
    <w:p w:rsidR="008C5694" w:rsidRDefault="008C5694" w:rsidP="00D81238">
      <w:pPr>
        <w:ind w:right="-101"/>
        <w:jc w:val="both"/>
      </w:pPr>
    </w:p>
    <w:p w:rsidR="008C5694" w:rsidRPr="00331DC0" w:rsidRDefault="008C5694" w:rsidP="00D81238">
      <w:pPr>
        <w:ind w:right="-101"/>
        <w:jc w:val="both"/>
        <w:rPr>
          <w:b/>
        </w:rPr>
      </w:pPr>
      <w:r w:rsidRPr="00331DC0">
        <w:rPr>
          <w:b/>
        </w:rPr>
        <w:t xml:space="preserve">Министарство финансија </w:t>
      </w:r>
    </w:p>
    <w:p w:rsidR="008C5694" w:rsidRDefault="008C5694" w:rsidP="00D81238">
      <w:pPr>
        <w:ind w:right="-101"/>
        <w:jc w:val="both"/>
        <w:rPr>
          <w:lang w:val="sr-Cyrl-CS"/>
        </w:rPr>
      </w:pPr>
      <w:r>
        <w:t>Кнеза Милоша 16-20</w:t>
      </w:r>
    </w:p>
    <w:p w:rsidR="008F39DB" w:rsidRPr="008F39DB" w:rsidRDefault="008F39DB" w:rsidP="00D81238">
      <w:pPr>
        <w:ind w:right="-101"/>
        <w:jc w:val="both"/>
        <w:rPr>
          <w:lang w:val="sr-Cyrl-CS"/>
        </w:rPr>
      </w:pPr>
      <w:r>
        <w:rPr>
          <w:lang w:val="sr-Cyrl-CS"/>
        </w:rPr>
        <w:t>Београд</w:t>
      </w:r>
    </w:p>
    <w:p w:rsidR="008C5694" w:rsidRDefault="008C5694" w:rsidP="00D81238">
      <w:pPr>
        <w:ind w:right="-101"/>
        <w:jc w:val="both"/>
      </w:pPr>
    </w:p>
    <w:p w:rsidR="008C5694" w:rsidRPr="00331DC0" w:rsidRDefault="008C5694" w:rsidP="00D81238">
      <w:pPr>
        <w:ind w:right="-101"/>
        <w:jc w:val="both"/>
        <w:rPr>
          <w:b/>
        </w:rPr>
      </w:pPr>
      <w:r w:rsidRPr="00331DC0">
        <w:rPr>
          <w:b/>
        </w:rPr>
        <w:t>Министарство за људска и мањинска права, државну управу и локалну самоуправу</w:t>
      </w:r>
    </w:p>
    <w:p w:rsidR="008C5694" w:rsidRDefault="008F39DB" w:rsidP="00D81238">
      <w:pPr>
        <w:ind w:right="-101"/>
        <w:jc w:val="both"/>
        <w:rPr>
          <w:lang w:val="sr-Cyrl-CS"/>
        </w:rPr>
      </w:pPr>
      <w:r>
        <w:t xml:space="preserve">Бирчанинова </w:t>
      </w:r>
      <w:r>
        <w:rPr>
          <w:lang w:val="sr-Cyrl-CS"/>
        </w:rPr>
        <w:t>6</w:t>
      </w:r>
    </w:p>
    <w:p w:rsidR="008F39DB" w:rsidRPr="008F39DB" w:rsidRDefault="008F39DB" w:rsidP="00D81238">
      <w:pPr>
        <w:ind w:right="-101"/>
        <w:jc w:val="both"/>
        <w:rPr>
          <w:lang w:val="sr-Cyrl-CS"/>
        </w:rPr>
      </w:pPr>
      <w:r>
        <w:rPr>
          <w:lang w:val="sr-Cyrl-CS"/>
        </w:rPr>
        <w:t>Београд</w:t>
      </w:r>
    </w:p>
    <w:p w:rsidR="008C5694" w:rsidRDefault="008C5694" w:rsidP="00D81238">
      <w:pPr>
        <w:ind w:right="-101"/>
        <w:jc w:val="both"/>
      </w:pPr>
    </w:p>
    <w:p w:rsidR="006557C0" w:rsidRPr="00331DC0" w:rsidRDefault="006557C0" w:rsidP="00D81238">
      <w:pPr>
        <w:ind w:right="-101"/>
        <w:jc w:val="both"/>
        <w:rPr>
          <w:b/>
        </w:rPr>
      </w:pPr>
      <w:r w:rsidRPr="00331DC0">
        <w:rPr>
          <w:b/>
        </w:rPr>
        <w:t>Републичка изборна комисија</w:t>
      </w:r>
    </w:p>
    <w:p w:rsidR="006557C0" w:rsidRDefault="006557C0" w:rsidP="00D81238">
      <w:pPr>
        <w:ind w:right="-101"/>
        <w:jc w:val="both"/>
        <w:rPr>
          <w:lang w:val="sr-Cyrl-CS"/>
        </w:rPr>
      </w:pPr>
      <w:r>
        <w:t>Краља Милана 14</w:t>
      </w:r>
    </w:p>
    <w:p w:rsidR="008F39DB" w:rsidRPr="008F39DB" w:rsidRDefault="008F39DB" w:rsidP="00D81238">
      <w:pPr>
        <w:ind w:right="-101"/>
        <w:jc w:val="both"/>
        <w:rPr>
          <w:lang w:val="sr-Cyrl-CS"/>
        </w:rPr>
      </w:pPr>
      <w:r>
        <w:rPr>
          <w:lang w:val="sr-Cyrl-CS"/>
        </w:rPr>
        <w:t>Београд</w:t>
      </w:r>
    </w:p>
    <w:p w:rsidR="006557C0" w:rsidRDefault="006557C0" w:rsidP="00D81238">
      <w:pPr>
        <w:ind w:right="-101"/>
        <w:jc w:val="both"/>
      </w:pPr>
    </w:p>
    <w:p w:rsidR="008C5694" w:rsidRPr="00331DC0" w:rsidRDefault="008C5694" w:rsidP="00D81238">
      <w:pPr>
        <w:ind w:right="-101"/>
        <w:jc w:val="both"/>
        <w:rPr>
          <w:b/>
        </w:rPr>
      </w:pPr>
      <w:r w:rsidRPr="00331DC0">
        <w:rPr>
          <w:b/>
        </w:rPr>
        <w:t>Стална конференција градова и општина</w:t>
      </w:r>
    </w:p>
    <w:p w:rsidR="008C5694" w:rsidRPr="008F39DB" w:rsidRDefault="008F39DB" w:rsidP="00D81238">
      <w:pPr>
        <w:ind w:right="-101"/>
        <w:jc w:val="both"/>
      </w:pPr>
      <w:r>
        <w:t xml:space="preserve">Македонска </w:t>
      </w:r>
      <w:r>
        <w:rPr>
          <w:lang w:val="sr-Cyrl-CS"/>
        </w:rPr>
        <w:t>22/</w:t>
      </w:r>
      <w:r>
        <w:t>VIII</w:t>
      </w:r>
    </w:p>
    <w:p w:rsidR="00B20350" w:rsidRPr="00157C2E" w:rsidRDefault="00B20350" w:rsidP="00D81238">
      <w:pPr>
        <w:ind w:right="-101"/>
        <w:jc w:val="both"/>
        <w:rPr>
          <w:lang w:val="sr-Cyrl-CS"/>
        </w:rPr>
      </w:pPr>
      <w:r w:rsidRPr="00157C2E">
        <w:rPr>
          <w:lang w:val="sr-Cyrl-CS"/>
        </w:rPr>
        <w:t>Београд</w:t>
      </w:r>
    </w:p>
    <w:p w:rsidR="0036575A" w:rsidRPr="00157C2E" w:rsidRDefault="0036575A" w:rsidP="0036575A">
      <w:pPr>
        <w:ind w:left="1440" w:right="-99"/>
        <w:jc w:val="both"/>
        <w:rPr>
          <w:lang w:val="en-GB"/>
        </w:rPr>
      </w:pPr>
    </w:p>
    <w:p w:rsidR="00B20350" w:rsidRPr="00157C2E" w:rsidRDefault="00B20350" w:rsidP="0036575A">
      <w:pPr>
        <w:ind w:left="1440" w:right="-99"/>
        <w:jc w:val="both"/>
        <w:rPr>
          <w:lang w:val="en-GB"/>
        </w:rPr>
      </w:pPr>
    </w:p>
    <w:p w:rsidR="008C5694" w:rsidRDefault="008C5694" w:rsidP="008C5694">
      <w:pPr>
        <w:jc w:val="both"/>
        <w:rPr>
          <w:b/>
          <w:lang w:val="ru-RU"/>
        </w:rPr>
      </w:pPr>
      <w:r>
        <w:rPr>
          <w:b/>
          <w:lang w:val="ru-RU"/>
        </w:rPr>
        <w:t xml:space="preserve">Предмет: Одређивање средстава за финансирање политичких субјеката у одлукама о буџету локалних самоуправа </w:t>
      </w:r>
    </w:p>
    <w:p w:rsidR="008C5694" w:rsidRDefault="008C5694" w:rsidP="008C5694">
      <w:pPr>
        <w:rPr>
          <w:b/>
          <w:lang w:val="ru-RU"/>
        </w:rPr>
      </w:pPr>
    </w:p>
    <w:p w:rsidR="008C5694" w:rsidRDefault="008C5694" w:rsidP="008C5694">
      <w:pPr>
        <w:rPr>
          <w:lang w:val="ru-RU"/>
        </w:rPr>
      </w:pPr>
      <w:r>
        <w:rPr>
          <w:lang w:val="ru-RU"/>
        </w:rPr>
        <w:t xml:space="preserve">Поштовани, </w:t>
      </w:r>
    </w:p>
    <w:p w:rsidR="008C5694" w:rsidRDefault="008C5694" w:rsidP="008C5694">
      <w:pPr>
        <w:rPr>
          <w:lang w:val="ru-RU"/>
        </w:rPr>
      </w:pPr>
    </w:p>
    <w:p w:rsidR="00B20350" w:rsidRDefault="008C5694" w:rsidP="008C5694">
      <w:pPr>
        <w:ind w:right="-99"/>
        <w:jc w:val="both"/>
      </w:pPr>
      <w:r>
        <w:t xml:space="preserve">у прилогу овог дописа вам достављамо податке о одређивању средстава за финансирање политичких субјеката у одлукама о буџету града Београда, градова, општина и градских општина. </w:t>
      </w:r>
    </w:p>
    <w:p w:rsidR="008C5694" w:rsidRDefault="008C5694" w:rsidP="008C5694">
      <w:pPr>
        <w:ind w:right="-99"/>
        <w:jc w:val="both"/>
      </w:pPr>
    </w:p>
    <w:p w:rsidR="005D2EE9" w:rsidRPr="005D2EE9" w:rsidRDefault="005D2EE9" w:rsidP="008C5694">
      <w:pPr>
        <w:jc w:val="both"/>
        <w:rPr>
          <w:i/>
        </w:rPr>
      </w:pPr>
      <w:r>
        <w:rPr>
          <w:i/>
        </w:rPr>
        <w:t>Објашњење разлога за прикупљање и анализу података</w:t>
      </w:r>
    </w:p>
    <w:p w:rsidR="005D2EE9" w:rsidRDefault="005D2EE9" w:rsidP="008C5694">
      <w:pPr>
        <w:jc w:val="both"/>
      </w:pPr>
    </w:p>
    <w:p w:rsidR="008C5694" w:rsidRDefault="008C5694" w:rsidP="008C5694">
      <w:pPr>
        <w:jc w:val="both"/>
      </w:pPr>
      <w:r w:rsidRPr="00216A8F">
        <w:t>Транспарентност – Србија, у оквиру пројекта мониторинга прве године примене Закона о финансирању политичких активности (Службени гласник Републ</w:t>
      </w:r>
      <w:r w:rsidR="005D2EE9">
        <w:t xml:space="preserve">ике Србије број 43/2011), испитивала </w:t>
      </w:r>
      <w:r w:rsidRPr="00216A8F">
        <w:t xml:space="preserve">је и поступање органа локалне самоуправе, у вези са њиховим обавезама из тог Закона. </w:t>
      </w:r>
    </w:p>
    <w:p w:rsidR="008C5694" w:rsidRPr="00216A8F" w:rsidRDefault="008C5694" w:rsidP="008C5694">
      <w:pPr>
        <w:jc w:val="both"/>
      </w:pPr>
    </w:p>
    <w:p w:rsidR="008C5694" w:rsidRDefault="008C5694" w:rsidP="008C5694">
      <w:pPr>
        <w:jc w:val="both"/>
      </w:pPr>
      <w:r w:rsidRPr="00216A8F">
        <w:t xml:space="preserve">Наиме, чланом 16. тог Закона прописано је да се за финансирање редовног рада политичких субјеката чији су кандидати изабрани за одборнике у скупштинама јединица локалне самоуправе издваја 0,15% из буџета јединице локалне самоуправе, при чему се проценат израчунава у односу на расходе буџета. </w:t>
      </w:r>
    </w:p>
    <w:p w:rsidR="005D2EE9" w:rsidRPr="00216A8F" w:rsidRDefault="005D2EE9" w:rsidP="008C5694">
      <w:pPr>
        <w:jc w:val="both"/>
      </w:pPr>
    </w:p>
    <w:p w:rsidR="008C5694" w:rsidRPr="00216A8F" w:rsidRDefault="008C5694" w:rsidP="008C5694">
      <w:pPr>
        <w:jc w:val="both"/>
      </w:pPr>
      <w:r w:rsidRPr="00216A8F">
        <w:t>На основу члана 47. истог Закона прописано је да одредбе члана 16, па тиме и почетак рачунања издвајања на основу њега ступа на снагу 1. јула 2012. У међувремену, на основу члана 46. Закона, примењ</w:t>
      </w:r>
      <w:r w:rsidR="005D2EE9">
        <w:t xml:space="preserve">ују се </w:t>
      </w:r>
      <w:r w:rsidRPr="00216A8F">
        <w:t>одредбе члана 4. Закона</w:t>
      </w:r>
      <w:r w:rsidRPr="008F682A">
        <w:t xml:space="preserve"> </w:t>
      </w:r>
      <w:r w:rsidRPr="00216A8F">
        <w:t>о</w:t>
      </w:r>
      <w:r w:rsidRPr="008F682A">
        <w:t xml:space="preserve"> </w:t>
      </w:r>
      <w:r w:rsidRPr="00216A8F">
        <w:t>финансирању</w:t>
      </w:r>
      <w:r w:rsidRPr="008F682A">
        <w:t xml:space="preserve"> </w:t>
      </w:r>
      <w:r w:rsidRPr="00216A8F">
        <w:t>политичких</w:t>
      </w:r>
      <w:r w:rsidRPr="008F682A">
        <w:t xml:space="preserve"> </w:t>
      </w:r>
      <w:r w:rsidRPr="00216A8F">
        <w:t>странака</w:t>
      </w:r>
      <w:r w:rsidRPr="008F682A">
        <w:t xml:space="preserve"> ("</w:t>
      </w:r>
      <w:r w:rsidRPr="00216A8F">
        <w:t>Службени</w:t>
      </w:r>
      <w:r w:rsidRPr="008F682A">
        <w:t xml:space="preserve"> </w:t>
      </w:r>
      <w:r w:rsidRPr="00216A8F">
        <w:t>гласник</w:t>
      </w:r>
      <w:r w:rsidRPr="008F682A">
        <w:t xml:space="preserve"> </w:t>
      </w:r>
      <w:r w:rsidRPr="00216A8F">
        <w:t>РС</w:t>
      </w:r>
      <w:r w:rsidRPr="008F682A">
        <w:t xml:space="preserve">", </w:t>
      </w:r>
      <w:r w:rsidRPr="00216A8F">
        <w:t>бр</w:t>
      </w:r>
      <w:r w:rsidRPr="008F682A">
        <w:t xml:space="preserve">. 72/03, 75/03 - </w:t>
      </w:r>
      <w:r w:rsidRPr="00216A8F">
        <w:t>исправка</w:t>
      </w:r>
      <w:r w:rsidRPr="008F682A">
        <w:t xml:space="preserve">, 97/08 </w:t>
      </w:r>
      <w:r w:rsidRPr="00216A8F">
        <w:t>и</w:t>
      </w:r>
      <w:r w:rsidRPr="008F682A">
        <w:t xml:space="preserve"> 60/09 - </w:t>
      </w:r>
      <w:r w:rsidRPr="00216A8F">
        <w:t>одлука</w:t>
      </w:r>
      <w:r w:rsidRPr="008F682A">
        <w:t xml:space="preserve"> </w:t>
      </w:r>
      <w:r w:rsidRPr="00216A8F">
        <w:t>УС</w:t>
      </w:r>
      <w:r w:rsidRPr="008F682A">
        <w:t xml:space="preserve">). </w:t>
      </w:r>
      <w:r w:rsidRPr="00216A8F">
        <w:t xml:space="preserve">На основу одредаба Закона из 2003, средства из јавних извора се обезбеђују за финансирање редовног рада политичке странке чији су кандидати изабрани за одборнике, на нивоу од 0,1% буџета јединице локалне самоуправе, умањеног за трансфере од других нивоа власти. На Основу Закона о буџетском систему, ово издвајање се врши у односу на приходе и примања буџета. </w:t>
      </w:r>
    </w:p>
    <w:p w:rsidR="005D2EE9" w:rsidRDefault="005D2EE9" w:rsidP="008C5694">
      <w:pPr>
        <w:jc w:val="both"/>
      </w:pPr>
    </w:p>
    <w:p w:rsidR="008C5694" w:rsidRPr="00216A8F" w:rsidRDefault="008C5694" w:rsidP="008C5694">
      <w:pPr>
        <w:jc w:val="both"/>
      </w:pPr>
      <w:r w:rsidRPr="00216A8F">
        <w:t>На основу чл. 21. ст. 1. Закона о финансирању политичких активности прописано је да се за покриће трошкова изборне кампање обезбеђују у години у којој се одржавају редовни избори средства у износу од 0,1% расхода буџета јединице локалне самоуправе за годину за коју се буџет односи. Редовни избори одборника у скупштинама градова и општина треба да се одрже у 2012. години</w:t>
      </w:r>
      <w:r w:rsidR="005D2EE9">
        <w:t xml:space="preserve"> (осим у оним градовима и општинама у којима су одржани након 2008)</w:t>
      </w:r>
      <w:r w:rsidRPr="00216A8F">
        <w:t xml:space="preserve">. </w:t>
      </w:r>
    </w:p>
    <w:p w:rsidR="00B20350" w:rsidRDefault="00B20350" w:rsidP="00B20350">
      <w:pPr>
        <w:jc w:val="both"/>
        <w:rPr>
          <w:lang w:val="sr-Cyrl-CS"/>
        </w:rPr>
      </w:pPr>
    </w:p>
    <w:p w:rsidR="005D2EE9" w:rsidRDefault="005D2EE9" w:rsidP="00B20350">
      <w:pPr>
        <w:jc w:val="both"/>
        <w:rPr>
          <w:i/>
          <w:lang w:val="sr-Cyrl-CS"/>
        </w:rPr>
      </w:pPr>
      <w:r>
        <w:rPr>
          <w:i/>
          <w:lang w:val="sr-Cyrl-CS"/>
        </w:rPr>
        <w:t>Објашњење начина рада</w:t>
      </w:r>
      <w:r w:rsidR="00182689">
        <w:rPr>
          <w:i/>
          <w:lang w:val="sr-Cyrl-CS"/>
        </w:rPr>
        <w:t xml:space="preserve"> и приказаних података</w:t>
      </w:r>
    </w:p>
    <w:p w:rsidR="005D2EE9" w:rsidRDefault="005D2EE9" w:rsidP="00B20350">
      <w:pPr>
        <w:jc w:val="both"/>
        <w:rPr>
          <w:i/>
          <w:lang w:val="sr-Cyrl-CS"/>
        </w:rPr>
      </w:pPr>
    </w:p>
    <w:p w:rsidR="005D2EE9" w:rsidRPr="005D2EE9" w:rsidRDefault="005D2EE9" w:rsidP="00B20350">
      <w:pPr>
        <w:jc w:val="both"/>
        <w:rPr>
          <w:lang w:val="sr-Cyrl-CS"/>
        </w:rPr>
      </w:pPr>
      <w:r>
        <w:rPr>
          <w:lang w:val="sr-Cyrl-CS"/>
        </w:rPr>
        <w:t xml:space="preserve">Податке о буџетским издвајањима смо прикупљали током фебруара и марта 2012. Због релативно кратког рока у којем је посао урађен, као и због могућности да се стање променило након извршеног увида унапред прихватамо могућност грешке, </w:t>
      </w:r>
      <w:r w:rsidRPr="005D2EE9">
        <w:rPr>
          <w:b/>
          <w:lang w:val="sr-Cyrl-CS"/>
        </w:rPr>
        <w:t>због чега подаци које достављамо представљају само индикатор могућих прекршаја, а не и доказ о томе</w:t>
      </w:r>
      <w:r w:rsidR="005B4F60">
        <w:rPr>
          <w:b/>
          <w:lang w:val="sr-Cyrl-CS"/>
        </w:rPr>
        <w:t>, тако да су пре евентуалног предузимања мера потребне додатне провере.</w:t>
      </w:r>
    </w:p>
    <w:p w:rsidR="005D2EE9" w:rsidRDefault="005D2EE9" w:rsidP="00B20350">
      <w:pPr>
        <w:jc w:val="both"/>
        <w:rPr>
          <w:lang w:val="sr-Cyrl-CS"/>
        </w:rPr>
      </w:pPr>
    </w:p>
    <w:p w:rsidR="005D2EE9" w:rsidRDefault="005D2EE9" w:rsidP="00B20350">
      <w:pPr>
        <w:jc w:val="both"/>
        <w:rPr>
          <w:lang w:val="sr-Cyrl-CS"/>
        </w:rPr>
      </w:pPr>
      <w:r>
        <w:rPr>
          <w:lang w:val="sr-Cyrl-CS"/>
        </w:rPr>
        <w:lastRenderedPageBreak/>
        <w:t xml:space="preserve">Подаци су прикупљани тако што смо прво тражили веб-странице јединица локалне самоуправе на интернету, а затим претраживали пронађене веб-странице. Тражили смо објављену одлуку о буџету за 2012. годину или информацију о буџету на местима где би она требало да се нађе на основу законских обавеза које органи локалне самоуправе имају (у информатору о раду). </w:t>
      </w:r>
    </w:p>
    <w:p w:rsidR="005D2EE9" w:rsidRDefault="005D2EE9" w:rsidP="00B20350">
      <w:pPr>
        <w:jc w:val="both"/>
        <w:rPr>
          <w:lang w:val="sr-Cyrl-CS"/>
        </w:rPr>
      </w:pPr>
    </w:p>
    <w:p w:rsidR="005D2EE9" w:rsidRDefault="005D2EE9" w:rsidP="00B20350">
      <w:pPr>
        <w:jc w:val="both"/>
        <w:rPr>
          <w:lang w:val="sr-Cyrl-CS"/>
        </w:rPr>
      </w:pPr>
      <w:r>
        <w:rPr>
          <w:lang w:val="sr-Cyrl-CS"/>
        </w:rPr>
        <w:t xml:space="preserve">Затим су, у посебне табеле за сваки град или општину уношени релевантни подаци из Одлуке о буџету за 2012, и то: </w:t>
      </w:r>
    </w:p>
    <w:p w:rsidR="005D2EE9" w:rsidRDefault="005D2EE9" w:rsidP="005D2EE9">
      <w:pPr>
        <w:numPr>
          <w:ilvl w:val="0"/>
          <w:numId w:val="10"/>
        </w:numPr>
        <w:jc w:val="both"/>
        <w:rPr>
          <w:lang w:val="sr-Cyrl-CS"/>
        </w:rPr>
      </w:pPr>
      <w:r>
        <w:rPr>
          <w:lang w:val="sr-Cyrl-CS"/>
        </w:rPr>
        <w:t>укупни приходи буџета</w:t>
      </w:r>
    </w:p>
    <w:p w:rsidR="005D2EE9" w:rsidRDefault="005D2EE9" w:rsidP="005D2EE9">
      <w:pPr>
        <w:numPr>
          <w:ilvl w:val="0"/>
          <w:numId w:val="10"/>
        </w:numPr>
        <w:jc w:val="both"/>
        <w:rPr>
          <w:lang w:val="sr-Cyrl-CS"/>
        </w:rPr>
      </w:pPr>
      <w:r>
        <w:rPr>
          <w:lang w:val="sr-Cyrl-CS"/>
        </w:rPr>
        <w:t>висина трансфера које је јединица локалне самоуправе добила од других нивоа власти</w:t>
      </w:r>
    </w:p>
    <w:p w:rsidR="005D2EE9" w:rsidRDefault="005D2EE9" w:rsidP="005D2EE9">
      <w:pPr>
        <w:numPr>
          <w:ilvl w:val="0"/>
          <w:numId w:val="10"/>
        </w:numPr>
        <w:jc w:val="both"/>
        <w:rPr>
          <w:lang w:val="sr-Cyrl-CS"/>
        </w:rPr>
      </w:pPr>
      <w:r>
        <w:rPr>
          <w:lang w:val="sr-Cyrl-CS"/>
        </w:rPr>
        <w:t>укупне расходе буџета</w:t>
      </w:r>
    </w:p>
    <w:p w:rsidR="005D2EE9" w:rsidRDefault="005D2EE9" w:rsidP="005D2EE9">
      <w:pPr>
        <w:numPr>
          <w:ilvl w:val="0"/>
          <w:numId w:val="10"/>
        </w:numPr>
        <w:jc w:val="both"/>
        <w:rPr>
          <w:lang w:val="sr-Cyrl-CS"/>
        </w:rPr>
      </w:pPr>
      <w:r>
        <w:rPr>
          <w:lang w:val="sr-Cyrl-CS"/>
        </w:rPr>
        <w:t>издвајања за финансирање редовног рада политичких странака за прву половину 2012, тамо где је овај расход посебно исказан</w:t>
      </w:r>
    </w:p>
    <w:p w:rsidR="005D2EE9" w:rsidRDefault="005D2EE9" w:rsidP="005D2EE9">
      <w:pPr>
        <w:numPr>
          <w:ilvl w:val="0"/>
          <w:numId w:val="10"/>
        </w:numPr>
        <w:jc w:val="both"/>
        <w:rPr>
          <w:lang w:val="sr-Cyrl-CS"/>
        </w:rPr>
      </w:pPr>
      <w:r>
        <w:rPr>
          <w:lang w:val="sr-Cyrl-CS"/>
        </w:rPr>
        <w:t>издвајања за финансирање редовног рада политичких субјеката у другој половини 2012, тамо где је овај расход посебно исказан</w:t>
      </w:r>
    </w:p>
    <w:p w:rsidR="005D2EE9" w:rsidRDefault="005D2EE9" w:rsidP="005D2EE9">
      <w:pPr>
        <w:numPr>
          <w:ilvl w:val="0"/>
          <w:numId w:val="10"/>
        </w:numPr>
        <w:jc w:val="both"/>
        <w:rPr>
          <w:lang w:val="sr-Cyrl-CS"/>
        </w:rPr>
      </w:pPr>
      <w:r>
        <w:rPr>
          <w:lang w:val="sr-Cyrl-CS"/>
        </w:rPr>
        <w:t>издвајања за финансирање редовног рада политичких странака/субјеката за целу 2012. годину, тамо где је он исказан на овај начин</w:t>
      </w:r>
    </w:p>
    <w:p w:rsidR="00182689" w:rsidRDefault="005D2EE9" w:rsidP="005D2EE9">
      <w:pPr>
        <w:numPr>
          <w:ilvl w:val="0"/>
          <w:numId w:val="10"/>
        </w:numPr>
        <w:jc w:val="both"/>
        <w:rPr>
          <w:lang w:val="sr-Cyrl-CS"/>
        </w:rPr>
      </w:pPr>
      <w:r>
        <w:rPr>
          <w:lang w:val="sr-Cyrl-CS"/>
        </w:rPr>
        <w:t>издвајања за финансирање ка</w:t>
      </w:r>
      <w:r w:rsidR="00182689">
        <w:rPr>
          <w:lang w:val="sr-Cyrl-CS"/>
        </w:rPr>
        <w:t>мпање за редовне локалне изборе, тамо где је овај расход посебно исказан</w:t>
      </w:r>
    </w:p>
    <w:p w:rsidR="00182689" w:rsidRDefault="00182689" w:rsidP="005D2EE9">
      <w:pPr>
        <w:numPr>
          <w:ilvl w:val="0"/>
          <w:numId w:val="10"/>
        </w:numPr>
        <w:jc w:val="both"/>
        <w:rPr>
          <w:lang w:val="sr-Cyrl-CS"/>
        </w:rPr>
      </w:pPr>
      <w:r>
        <w:rPr>
          <w:lang w:val="sr-Cyrl-CS"/>
        </w:rPr>
        <w:t>укупна издвајања за финансирање политичких субјеката у 2012. у случајевима када није приказана посебно намена тих средстава</w:t>
      </w:r>
    </w:p>
    <w:p w:rsidR="00182689" w:rsidRDefault="00182689" w:rsidP="005D2EE9">
      <w:pPr>
        <w:numPr>
          <w:ilvl w:val="0"/>
          <w:numId w:val="10"/>
        </w:numPr>
        <w:jc w:val="both"/>
        <w:rPr>
          <w:lang w:val="sr-Cyrl-CS"/>
        </w:rPr>
      </w:pPr>
      <w:r>
        <w:rPr>
          <w:lang w:val="sr-Cyrl-CS"/>
        </w:rPr>
        <w:t>укупна издвајања за финансирање политичких субјеката и других, у случајевима где је дат само збирни приказ (нпр. заједно са финансирањем националних савета националних мањина)</w:t>
      </w:r>
    </w:p>
    <w:p w:rsidR="00182689" w:rsidRDefault="00182689" w:rsidP="00182689">
      <w:pPr>
        <w:jc w:val="both"/>
        <w:rPr>
          <w:lang w:val="sr-Cyrl-CS"/>
        </w:rPr>
      </w:pPr>
    </w:p>
    <w:p w:rsidR="00182689" w:rsidRDefault="00182689" w:rsidP="00182689">
      <w:pPr>
        <w:jc w:val="both"/>
        <w:rPr>
          <w:lang w:val="sr-Cyrl-CS"/>
        </w:rPr>
      </w:pPr>
      <w:r>
        <w:rPr>
          <w:lang w:val="sr-Cyrl-CS"/>
        </w:rPr>
        <w:t>Упоредо са уношењем података о стварним издвајањима за финансирање политичких странака/субјеката, на основу параметара прописаних Законом о финансирању политичких активности и Законом о буџетском систему израчунавали смо колика би та издвајања требало да буду. Из збирне табеле коју достављамо уз овај допис може се видети следеће:</w:t>
      </w:r>
    </w:p>
    <w:p w:rsidR="00182689" w:rsidRDefault="00182689" w:rsidP="00182689">
      <w:pPr>
        <w:tabs>
          <w:tab w:val="left" w:pos="6495"/>
        </w:tabs>
        <w:jc w:val="both"/>
        <w:rPr>
          <w:lang w:val="sr-Cyrl-CS"/>
        </w:rPr>
      </w:pPr>
      <w:r>
        <w:rPr>
          <w:lang w:val="sr-Cyrl-CS"/>
        </w:rPr>
        <w:tab/>
      </w:r>
    </w:p>
    <w:p w:rsidR="005D2EE9" w:rsidRDefault="00182689" w:rsidP="00182689">
      <w:pPr>
        <w:numPr>
          <w:ilvl w:val="0"/>
          <w:numId w:val="11"/>
        </w:numPr>
        <w:jc w:val="both"/>
        <w:rPr>
          <w:lang w:val="sr-Cyrl-CS"/>
        </w:rPr>
      </w:pPr>
      <w:r>
        <w:rPr>
          <w:lang w:val="sr-Cyrl-CS"/>
        </w:rPr>
        <w:t>за које градове и општине смо пронашли Одлуку о буџету претрагом интернета</w:t>
      </w:r>
    </w:p>
    <w:p w:rsidR="00182689" w:rsidRDefault="00182689" w:rsidP="00182689">
      <w:pPr>
        <w:numPr>
          <w:ilvl w:val="0"/>
          <w:numId w:val="11"/>
        </w:numPr>
        <w:jc w:val="both"/>
        <w:rPr>
          <w:lang w:val="sr-Cyrl-CS"/>
        </w:rPr>
      </w:pPr>
      <w:r>
        <w:rPr>
          <w:lang w:val="sr-Cyrl-CS"/>
        </w:rPr>
        <w:t>колико су поједини градови и општине издвојили за финансирање политичких субјеката и за посебне намене (финансирање редовног рада, финансирање кампање), тамо где је то исказано</w:t>
      </w:r>
    </w:p>
    <w:p w:rsidR="00182689" w:rsidRDefault="00182689" w:rsidP="00182689">
      <w:pPr>
        <w:numPr>
          <w:ilvl w:val="0"/>
          <w:numId w:val="11"/>
        </w:numPr>
        <w:jc w:val="both"/>
        <w:rPr>
          <w:lang w:val="sr-Cyrl-CS"/>
        </w:rPr>
      </w:pPr>
      <w:r>
        <w:rPr>
          <w:lang w:val="sr-Cyrl-CS"/>
        </w:rPr>
        <w:t>да ли је издвајање веће или мање од оног које би требало да буде на основу параметара који су прописани Законом</w:t>
      </w:r>
    </w:p>
    <w:p w:rsidR="005D2EE9" w:rsidRDefault="005D2EE9" w:rsidP="00B20350">
      <w:pPr>
        <w:jc w:val="both"/>
        <w:rPr>
          <w:lang w:val="sr-Cyrl-CS"/>
        </w:rPr>
      </w:pPr>
    </w:p>
    <w:p w:rsidR="00182689" w:rsidRDefault="00182689" w:rsidP="00B20350">
      <w:pPr>
        <w:jc w:val="both"/>
        <w:rPr>
          <w:lang w:val="sr-Cyrl-CS"/>
        </w:rPr>
      </w:pPr>
      <w:r>
        <w:rPr>
          <w:lang w:val="sr-Cyrl-CS"/>
        </w:rPr>
        <w:lastRenderedPageBreak/>
        <w:t xml:space="preserve">Напомињемо да у табели нису приказани подаци за градове и општине са територије Косова и Метохије, осим оних општина чије смо Одлуке о буџету пронашли на интернету. </w:t>
      </w:r>
    </w:p>
    <w:p w:rsidR="00182689" w:rsidRDefault="00182689" w:rsidP="00B20350">
      <w:pPr>
        <w:jc w:val="both"/>
        <w:rPr>
          <w:lang w:val="sr-Cyrl-CS"/>
        </w:rPr>
      </w:pPr>
    </w:p>
    <w:p w:rsidR="00182689" w:rsidRDefault="00182689" w:rsidP="00B20350">
      <w:pPr>
        <w:jc w:val="both"/>
        <w:rPr>
          <w:lang w:val="sr-Cyrl-CS"/>
        </w:rPr>
      </w:pPr>
      <w:r>
        <w:rPr>
          <w:lang w:val="sr-Cyrl-CS"/>
        </w:rPr>
        <w:t xml:space="preserve">Након прикупљања и анализе података за сваки град или општину, њима смо упутили дописе (електронском поштом), у којима смо им предочили наше налазе. Неки градови и општине су нам одговорили на дописе, а подаци о таквим одговорима су такође приказани у табели. </w:t>
      </w:r>
    </w:p>
    <w:p w:rsidR="00182689" w:rsidRDefault="00182689" w:rsidP="00B20350">
      <w:pPr>
        <w:jc w:val="both"/>
        <w:rPr>
          <w:lang w:val="sr-Cyrl-CS"/>
        </w:rPr>
      </w:pPr>
    </w:p>
    <w:p w:rsidR="00182689" w:rsidRDefault="00182689" w:rsidP="00B20350">
      <w:pPr>
        <w:jc w:val="both"/>
        <w:rPr>
          <w:i/>
          <w:lang w:val="sr-Cyrl-CS"/>
        </w:rPr>
      </w:pPr>
      <w:r>
        <w:rPr>
          <w:i/>
          <w:lang w:val="sr-Cyrl-CS"/>
        </w:rPr>
        <w:t>Главни налази</w:t>
      </w:r>
    </w:p>
    <w:p w:rsidR="00182689" w:rsidRDefault="00182689" w:rsidP="00B20350">
      <w:pPr>
        <w:jc w:val="both"/>
        <w:rPr>
          <w:i/>
          <w:lang w:val="sr-Cyrl-CS"/>
        </w:rPr>
      </w:pPr>
    </w:p>
    <w:p w:rsidR="00182689" w:rsidRDefault="00565F67" w:rsidP="006557C0">
      <w:pPr>
        <w:numPr>
          <w:ilvl w:val="0"/>
          <w:numId w:val="12"/>
        </w:numPr>
        <w:jc w:val="both"/>
        <w:rPr>
          <w:lang w:val="sr-Cyrl-CS"/>
        </w:rPr>
      </w:pPr>
      <w:r>
        <w:rPr>
          <w:lang w:val="sr-Cyrl-CS"/>
        </w:rPr>
        <w:t xml:space="preserve">Велики број градова и општина </w:t>
      </w:r>
      <w:r w:rsidR="006557C0">
        <w:rPr>
          <w:lang w:val="sr-Cyrl-CS"/>
        </w:rPr>
        <w:t xml:space="preserve">(око 40%, не рачунајући општине са подручја КиМ) или </w:t>
      </w:r>
      <w:r>
        <w:rPr>
          <w:lang w:val="sr-Cyrl-CS"/>
        </w:rPr>
        <w:t xml:space="preserve">нема интернет презентације (или те презентације није лако пронаћи) или не објављује на веб-сајту ажурне информације о буџету, што може представљати не само нарушавање добре праксе транспарентности јавних финансија, већ и </w:t>
      </w:r>
      <w:r w:rsidR="006557C0">
        <w:rPr>
          <w:lang w:val="sr-Cyrl-CS"/>
        </w:rPr>
        <w:t xml:space="preserve">директно </w:t>
      </w:r>
      <w:r>
        <w:rPr>
          <w:lang w:val="sr-Cyrl-CS"/>
        </w:rPr>
        <w:t xml:space="preserve">кршење </w:t>
      </w:r>
      <w:r w:rsidR="006557C0">
        <w:rPr>
          <w:lang w:val="sr-Cyrl-CS"/>
        </w:rPr>
        <w:t>прописа (нпр. обавезе објављивања и месечног ажурирања информатора о раду, на основу Закона о слободном приступу информацијама од јавног значаја).</w:t>
      </w:r>
    </w:p>
    <w:p w:rsidR="00182689" w:rsidRDefault="00182689" w:rsidP="00B20350">
      <w:pPr>
        <w:jc w:val="both"/>
        <w:rPr>
          <w:lang w:val="sr-Cyrl-CS"/>
        </w:rPr>
      </w:pPr>
    </w:p>
    <w:p w:rsidR="006557C0" w:rsidRDefault="006557C0" w:rsidP="006557C0">
      <w:pPr>
        <w:numPr>
          <w:ilvl w:val="0"/>
          <w:numId w:val="12"/>
        </w:numPr>
        <w:jc w:val="both"/>
        <w:rPr>
          <w:lang w:val="sr-Cyrl-CS"/>
        </w:rPr>
      </w:pPr>
      <w:r>
        <w:rPr>
          <w:lang w:val="sr-Cyrl-CS"/>
        </w:rPr>
        <w:t>Издвајања за финансирање редовног рада политичких странака/субјеката и финансирање кампање за локалне изборе готово ни у једном случају нису извршена у складу са Законом. Изузетак представљају издвајања за финансирање редовног рада политичких субјеката у Сурдулици и издвајања за финансирање изборне кампање у Панчеву.</w:t>
      </w:r>
    </w:p>
    <w:p w:rsidR="006557C0" w:rsidRDefault="006557C0" w:rsidP="00B20350">
      <w:pPr>
        <w:jc w:val="both"/>
        <w:rPr>
          <w:lang w:val="sr-Cyrl-CS"/>
        </w:rPr>
      </w:pPr>
    </w:p>
    <w:p w:rsidR="00331DC0" w:rsidRPr="00331DC0" w:rsidRDefault="006557C0" w:rsidP="00331DC0">
      <w:pPr>
        <w:numPr>
          <w:ilvl w:val="0"/>
          <w:numId w:val="12"/>
        </w:numPr>
        <w:jc w:val="both"/>
        <w:rPr>
          <w:lang w:val="sr-Cyrl-CS"/>
        </w:rPr>
      </w:pPr>
      <w:r>
        <w:rPr>
          <w:lang w:val="sr-Cyrl-CS"/>
        </w:rPr>
        <w:t xml:space="preserve">У 43 идентификована случаја (било да је реч о финансирању редовног рада, кампање или укупном) према одлуци о буџету издвојено је </w:t>
      </w:r>
      <w:r>
        <w:rPr>
          <w:i/>
          <w:lang w:val="sr-Cyrl-CS"/>
        </w:rPr>
        <w:t xml:space="preserve">више </w:t>
      </w:r>
      <w:r>
        <w:rPr>
          <w:lang w:val="sr-Cyrl-CS"/>
        </w:rPr>
        <w:t>средстава него што је требало да буде учињено на основу Законом задатих параметара</w:t>
      </w:r>
      <w:r w:rsidR="00331DC0">
        <w:rPr>
          <w:lang w:val="sr-Cyrl-CS"/>
        </w:rPr>
        <w:t>. У оваквим ситуацијама јавља се опасност да буџетска средства буду утрошена на намену на коју не би смела да буду. Чак и у случају да накнадним изменама одлука о буџету, након избора, износ буде усаглашен са параметрима из Закона, штета може бити непоправљива јер може бити немогуће или тешко наплатити више исплаћена средства од онога ко их добије (нпр. у случају да више средстава прими политичка странка која не буде била заступљена у скупштини града или општине након следећих избора, уколико више средстава добије политички субјект који је формиран само зарад учешћа на предстојећим изборима).</w:t>
      </w:r>
    </w:p>
    <w:p w:rsidR="006557C0" w:rsidRDefault="006557C0" w:rsidP="00B20350">
      <w:pPr>
        <w:jc w:val="both"/>
        <w:rPr>
          <w:lang w:val="sr-Cyrl-CS"/>
        </w:rPr>
      </w:pPr>
    </w:p>
    <w:p w:rsidR="006557C0" w:rsidRDefault="006557C0" w:rsidP="006557C0">
      <w:pPr>
        <w:numPr>
          <w:ilvl w:val="0"/>
          <w:numId w:val="12"/>
        </w:numPr>
        <w:jc w:val="both"/>
        <w:rPr>
          <w:lang w:val="sr-Cyrl-CS"/>
        </w:rPr>
      </w:pPr>
      <w:r>
        <w:rPr>
          <w:lang w:val="sr-Cyrl-CS"/>
        </w:rPr>
        <w:t xml:space="preserve">У 79 идентификована случаја (било да је реч о финансирању редовног рада, кампање или укупном) према одлуци о буџету издвојено је </w:t>
      </w:r>
      <w:r>
        <w:rPr>
          <w:i/>
          <w:lang w:val="sr-Cyrl-CS"/>
        </w:rPr>
        <w:t xml:space="preserve">мање </w:t>
      </w:r>
      <w:r>
        <w:rPr>
          <w:lang w:val="sr-Cyrl-CS"/>
        </w:rPr>
        <w:t xml:space="preserve">средстава </w:t>
      </w:r>
      <w:r>
        <w:rPr>
          <w:lang w:val="sr-Cyrl-CS"/>
        </w:rPr>
        <w:lastRenderedPageBreak/>
        <w:t>него што је требало да буде учињено на основу Законом задатих параметара</w:t>
      </w:r>
      <w:r w:rsidR="00331DC0">
        <w:rPr>
          <w:lang w:val="sr-Cyrl-CS"/>
        </w:rPr>
        <w:t>. Чак и у случају да накнадним изменама одлука о буџету, након избора, износ буде усаглашен са параметрима из Закона, штета може бити непоправљива када је реч о актуелној изборној кампањи. Наиме, подносиоци изборних листа који добију мање средстава из буџета локалне самоуправе за финансирање кампање од оног што би по Закону требало да им припадне (нарочито ако кампању воде само за локалне а не и за парламентарне изборе) имаће пуно право да истакну приговор неравноправности изборне трке са другим учесницима и да на тај начин оспоре и регуларност једног битног дела изборног процеса и затраже накнаду штете коју су по том основу претрпели.</w:t>
      </w:r>
    </w:p>
    <w:p w:rsidR="006557C0" w:rsidRDefault="006557C0" w:rsidP="006557C0">
      <w:pPr>
        <w:pStyle w:val="ListParagraph"/>
        <w:rPr>
          <w:lang w:val="sr-Cyrl-CS"/>
        </w:rPr>
      </w:pPr>
    </w:p>
    <w:p w:rsidR="006557C0" w:rsidRDefault="006557C0" w:rsidP="006557C0">
      <w:pPr>
        <w:numPr>
          <w:ilvl w:val="0"/>
          <w:numId w:val="12"/>
        </w:numPr>
        <w:jc w:val="both"/>
        <w:rPr>
          <w:lang w:val="sr-Cyrl-CS"/>
        </w:rPr>
      </w:pPr>
      <w:r>
        <w:rPr>
          <w:lang w:val="sr-Cyrl-CS"/>
        </w:rPr>
        <w:t>Уопште узев, приметно је да је начин исказивања прихода и расхода у Одлукама о буџету</w:t>
      </w:r>
      <w:r w:rsidR="005B4F60">
        <w:rPr>
          <w:lang w:val="sr-Cyrl-CS"/>
        </w:rPr>
        <w:t xml:space="preserve"> неуједначен, што је представљало тешкоћу за анализу али и за утврђивање тачног износа који треба издвојити за ову намену</w:t>
      </w:r>
      <w:r w:rsidR="00EE4229">
        <w:rPr>
          <w:lang w:val="sr-Cyrl-CS"/>
        </w:rPr>
        <w:t xml:space="preserve">. Нарочито је проблематично у том погледу посебно исказивање „прихода од индиректних буџетских корисника“ као посебне ставке која није узимана у обрачун код исказивања укупних прихода. Другу тешкоћу представља недовољна прецизност код исказивања намене издвојених буџетских средстава (нпр. неодвајање средстава која ће бити издвојена за финансирање политичких субјеката од других издвајања са буџетске линије 481). У том погледу очигледно постоји потреба за дубљом анализом начина приказивања података у одлукама о буџету са Законом о буџетским системом и подзаконским актима који су на основу њега донети, али и прецизирања обавеза у погледу приказивања издвајања која су намењена за финансирање политичких субјеката. </w:t>
      </w:r>
    </w:p>
    <w:p w:rsidR="005B4F60" w:rsidRDefault="005B4F60" w:rsidP="005B4F60">
      <w:pPr>
        <w:pStyle w:val="ListParagraph"/>
        <w:rPr>
          <w:lang w:val="sr-Cyrl-CS"/>
        </w:rPr>
      </w:pPr>
    </w:p>
    <w:p w:rsidR="005B4F60" w:rsidRDefault="005B4F60" w:rsidP="006557C0">
      <w:pPr>
        <w:numPr>
          <w:ilvl w:val="0"/>
          <w:numId w:val="12"/>
        </w:numPr>
        <w:jc w:val="both"/>
        <w:rPr>
          <w:lang w:val="sr-Cyrl-CS"/>
        </w:rPr>
      </w:pPr>
      <w:r>
        <w:rPr>
          <w:lang w:val="sr-Cyrl-CS"/>
        </w:rPr>
        <w:t>У готово половини градова и општина (43) које су објавиле податке о издвајањима, из Одлуке о буџету се не може видети колико је тачно новца опредељено за финансирање предстојеће изборне кампање а колико за финансирање редовног рада политичких странака/субјеката. Опасности до које оваква ситуација доводи су велике,</w:t>
      </w:r>
      <w:r w:rsidR="00EE4229">
        <w:rPr>
          <w:lang w:val="sr-Cyrl-CS"/>
        </w:rPr>
        <w:t xml:space="preserve"> нарочито</w:t>
      </w:r>
      <w:r>
        <w:rPr>
          <w:lang w:val="sr-Cyrl-CS"/>
        </w:rPr>
        <w:t xml:space="preserve"> у контексту </w:t>
      </w:r>
      <w:r w:rsidR="00EE4229">
        <w:rPr>
          <w:lang w:val="sr-Cyrl-CS"/>
        </w:rPr>
        <w:t>чињенице да је изборна кампања већ започета и да ће током овог месеца бити извршене исплате из буџета локалних самоуправа</w:t>
      </w:r>
      <w:r>
        <w:rPr>
          <w:lang w:val="sr-Cyrl-CS"/>
        </w:rPr>
        <w:t xml:space="preserve">: </w:t>
      </w:r>
    </w:p>
    <w:p w:rsidR="005B4F60" w:rsidRDefault="005B4F60" w:rsidP="005B4F60">
      <w:pPr>
        <w:pStyle w:val="ListParagraph"/>
        <w:rPr>
          <w:lang w:val="sr-Cyrl-CS"/>
        </w:rPr>
      </w:pPr>
    </w:p>
    <w:p w:rsidR="00331DC0" w:rsidRDefault="005B4F60" w:rsidP="00331DC0">
      <w:pPr>
        <w:numPr>
          <w:ilvl w:val="1"/>
          <w:numId w:val="12"/>
        </w:numPr>
        <w:jc w:val="both"/>
        <w:rPr>
          <w:lang w:val="sr-Cyrl-CS"/>
        </w:rPr>
      </w:pPr>
      <w:r>
        <w:rPr>
          <w:lang w:val="sr-Cyrl-CS"/>
        </w:rPr>
        <w:t>Постоји неизвесност међу учесницима на изборима на колико новца могу да рачунају за изборну кампа</w:t>
      </w:r>
      <w:r w:rsidR="00331DC0">
        <w:rPr>
          <w:lang w:val="sr-Cyrl-CS"/>
        </w:rPr>
        <w:t>њу из буџета локалне самоуправе и у погледу вредности изборног јемства које у ту сврху треба да положе</w:t>
      </w:r>
    </w:p>
    <w:p w:rsidR="00331DC0" w:rsidRPr="00331DC0" w:rsidRDefault="00331DC0" w:rsidP="00331DC0">
      <w:pPr>
        <w:numPr>
          <w:ilvl w:val="1"/>
          <w:numId w:val="12"/>
        </w:numPr>
        <w:jc w:val="both"/>
        <w:rPr>
          <w:lang w:val="sr-Cyrl-CS"/>
        </w:rPr>
      </w:pPr>
      <w:r>
        <w:rPr>
          <w:lang w:val="sr-Cyrl-CS"/>
        </w:rPr>
        <w:t>Постоји могућност да локална власт арбитрерно одлучи о томе колико ће средстава расподелити за ову намену</w:t>
      </w:r>
    </w:p>
    <w:p w:rsidR="006557C0" w:rsidRDefault="006557C0" w:rsidP="00B20350">
      <w:pPr>
        <w:jc w:val="both"/>
        <w:rPr>
          <w:lang w:val="sr-Cyrl-CS"/>
        </w:rPr>
      </w:pPr>
    </w:p>
    <w:p w:rsidR="006557C0" w:rsidRDefault="00EE4229" w:rsidP="00B20350">
      <w:pPr>
        <w:jc w:val="both"/>
        <w:rPr>
          <w:lang w:val="sr-Cyrl-CS"/>
        </w:rPr>
      </w:pPr>
      <w:r>
        <w:rPr>
          <w:lang w:val="sr-Cyrl-CS"/>
        </w:rPr>
        <w:t xml:space="preserve">Због свега наведеног, предлажемо вам да у контексту својих овлашћења и/или улоге које имате у примени појединих прописа размотрите наводе из овог дописа и да, уколико је потребно, након </w:t>
      </w:r>
      <w:r w:rsidR="00D81238">
        <w:rPr>
          <w:lang w:val="sr-Cyrl-CS"/>
        </w:rPr>
        <w:t xml:space="preserve">додатних </w:t>
      </w:r>
      <w:r>
        <w:rPr>
          <w:lang w:val="sr-Cyrl-CS"/>
        </w:rPr>
        <w:t>провера (које могу бити неопходне, имајући у виду</w:t>
      </w:r>
      <w:r w:rsidR="00D81238">
        <w:rPr>
          <w:lang w:val="sr-Cyrl-CS"/>
        </w:rPr>
        <w:t xml:space="preserve"> напред наведене разлоге)</w:t>
      </w:r>
      <w:r>
        <w:rPr>
          <w:lang w:val="sr-Cyrl-CS"/>
        </w:rPr>
        <w:t xml:space="preserve">, </w:t>
      </w:r>
      <w:r w:rsidR="00D81238">
        <w:rPr>
          <w:lang w:val="sr-Cyrl-CS"/>
        </w:rPr>
        <w:t xml:space="preserve">предузмете одговарајуће мере и утичете на то да се актуелни проблеми реше или да се слични не јаве у будућности. </w:t>
      </w:r>
      <w:r>
        <w:rPr>
          <w:lang w:val="sr-Cyrl-CS"/>
        </w:rPr>
        <w:t xml:space="preserve">  </w:t>
      </w:r>
    </w:p>
    <w:p w:rsidR="006557C0" w:rsidRDefault="006557C0" w:rsidP="00B20350">
      <w:pPr>
        <w:jc w:val="both"/>
        <w:rPr>
          <w:lang w:val="sr-Cyrl-CS"/>
        </w:rPr>
      </w:pPr>
    </w:p>
    <w:p w:rsidR="00B20350" w:rsidRPr="00157C2E" w:rsidRDefault="00B20350" w:rsidP="00EA23C3">
      <w:pPr>
        <w:ind w:left="1440" w:firstLine="720"/>
        <w:jc w:val="both"/>
        <w:rPr>
          <w:lang w:val="ru-RU"/>
        </w:rPr>
      </w:pPr>
      <w:r w:rsidRPr="00157C2E">
        <w:rPr>
          <w:lang w:val="ru-RU"/>
        </w:rPr>
        <w:t xml:space="preserve">            </w:t>
      </w:r>
      <w:r w:rsidR="00EA23C3" w:rsidRPr="00157C2E">
        <w:rPr>
          <w:lang w:val="ru-RU"/>
        </w:rPr>
        <w:tab/>
      </w:r>
      <w:r w:rsidRPr="00157C2E">
        <w:rPr>
          <w:lang w:val="ru-RU"/>
        </w:rPr>
        <w:t xml:space="preserve">                                  За Транспарентност – Србија</w:t>
      </w:r>
    </w:p>
    <w:p w:rsidR="00EA23C3" w:rsidRDefault="00B20350" w:rsidP="00B20350">
      <w:pPr>
        <w:jc w:val="both"/>
        <w:rPr>
          <w:lang w:val="ru-RU"/>
        </w:rPr>
      </w:pPr>
      <w:r w:rsidRPr="00157C2E">
        <w:rPr>
          <w:lang w:val="ru-RU"/>
        </w:rPr>
        <w:t xml:space="preserve">                                    </w:t>
      </w:r>
      <w:r w:rsidR="00EA23C3" w:rsidRPr="00157C2E">
        <w:rPr>
          <w:lang w:val="ru-RU"/>
        </w:rPr>
        <w:tab/>
      </w:r>
      <w:r w:rsidRPr="00157C2E">
        <w:rPr>
          <w:lang w:val="ru-RU"/>
        </w:rPr>
        <w:t xml:space="preserve">            </w:t>
      </w:r>
    </w:p>
    <w:p w:rsidR="00EE4229" w:rsidRPr="00157C2E" w:rsidRDefault="00EE4229" w:rsidP="00EE4229">
      <w:pPr>
        <w:ind w:left="5040" w:firstLine="720"/>
        <w:jc w:val="both"/>
        <w:rPr>
          <w:lang w:val="ru-RU"/>
        </w:rPr>
      </w:pPr>
      <w:r>
        <w:rPr>
          <w:lang w:val="ru-RU"/>
        </w:rPr>
        <w:t>Програмски директор</w:t>
      </w:r>
    </w:p>
    <w:p w:rsidR="00EE4229" w:rsidRDefault="00B20350" w:rsidP="00844657">
      <w:pPr>
        <w:ind w:left="2880" w:firstLine="720"/>
        <w:jc w:val="both"/>
        <w:rPr>
          <w:lang w:val="ru-RU"/>
        </w:rPr>
      </w:pPr>
      <w:r w:rsidRPr="00157C2E">
        <w:rPr>
          <w:lang w:val="ru-RU"/>
        </w:rPr>
        <w:t xml:space="preserve">                                          </w:t>
      </w:r>
    </w:p>
    <w:p w:rsidR="00B20350" w:rsidRDefault="00B94C29" w:rsidP="00EE4229">
      <w:pPr>
        <w:ind w:left="5040" w:firstLine="720"/>
        <w:jc w:val="both"/>
        <w:rPr>
          <w:lang w:val="ru-RU"/>
        </w:rPr>
      </w:pPr>
      <w:r>
        <w:rPr>
          <w:lang w:val="ru-RU"/>
        </w:rPr>
        <w:t>Немања Ненадић</w:t>
      </w:r>
    </w:p>
    <w:p w:rsidR="00D81238" w:rsidRDefault="00D81238" w:rsidP="00D81238">
      <w:pPr>
        <w:jc w:val="both"/>
        <w:rPr>
          <w:lang w:val="ru-RU"/>
        </w:rPr>
      </w:pPr>
    </w:p>
    <w:p w:rsidR="00D81238" w:rsidRDefault="00D81238" w:rsidP="00D81238">
      <w:pPr>
        <w:jc w:val="both"/>
        <w:rPr>
          <w:lang w:val="ru-RU"/>
        </w:rPr>
      </w:pPr>
    </w:p>
    <w:p w:rsidR="00D81238" w:rsidRDefault="00D81238" w:rsidP="00D81238">
      <w:pPr>
        <w:jc w:val="both"/>
        <w:rPr>
          <w:lang w:val="ru-RU"/>
        </w:rPr>
      </w:pPr>
      <w:r>
        <w:rPr>
          <w:lang w:val="ru-RU"/>
        </w:rPr>
        <w:t>Допис је достављен следећим институцијама:</w:t>
      </w:r>
    </w:p>
    <w:p w:rsidR="00D81238" w:rsidRDefault="00D81238" w:rsidP="00D81238">
      <w:pPr>
        <w:jc w:val="both"/>
        <w:rPr>
          <w:lang w:val="ru-RU"/>
        </w:rPr>
      </w:pPr>
    </w:p>
    <w:p w:rsidR="006B5CB5" w:rsidRPr="00331DC0" w:rsidRDefault="006B5CB5" w:rsidP="006B5CB5">
      <w:pPr>
        <w:ind w:right="-101"/>
        <w:jc w:val="both"/>
        <w:rPr>
          <w:b/>
        </w:rPr>
      </w:pPr>
      <w:r w:rsidRPr="00331DC0">
        <w:rPr>
          <w:b/>
        </w:rPr>
        <w:t>Агенција за борбу против корупције</w:t>
      </w:r>
    </w:p>
    <w:p w:rsidR="006B5CB5" w:rsidRDefault="006B5CB5" w:rsidP="006B5CB5">
      <w:pPr>
        <w:ind w:right="-101"/>
        <w:jc w:val="both"/>
      </w:pPr>
      <w:r>
        <w:t>Царице Милице 1</w:t>
      </w:r>
    </w:p>
    <w:p w:rsidR="006B5CB5" w:rsidRPr="008F39DB" w:rsidRDefault="006B5CB5" w:rsidP="006B5CB5">
      <w:pPr>
        <w:ind w:right="-101"/>
        <w:jc w:val="both"/>
        <w:rPr>
          <w:lang w:val="sr-Cyrl-CS"/>
        </w:rPr>
      </w:pPr>
      <w:r>
        <w:rPr>
          <w:lang w:val="sr-Cyrl-CS"/>
        </w:rPr>
        <w:t>Београд</w:t>
      </w:r>
    </w:p>
    <w:p w:rsidR="006B5CB5" w:rsidRDefault="006B5CB5" w:rsidP="006B5CB5">
      <w:pPr>
        <w:ind w:right="-101"/>
        <w:jc w:val="both"/>
      </w:pPr>
    </w:p>
    <w:p w:rsidR="006B5CB5" w:rsidRPr="00331DC0" w:rsidRDefault="006B5CB5" w:rsidP="006B5CB5">
      <w:pPr>
        <w:ind w:right="-101"/>
        <w:jc w:val="both"/>
        <w:rPr>
          <w:b/>
        </w:rPr>
      </w:pPr>
      <w:r w:rsidRPr="00331DC0">
        <w:rPr>
          <w:b/>
        </w:rPr>
        <w:t>Државна ревизорска институција</w:t>
      </w:r>
    </w:p>
    <w:p w:rsidR="006B5CB5" w:rsidRDefault="006B5CB5" w:rsidP="006B5CB5">
      <w:pPr>
        <w:ind w:right="-101"/>
        <w:jc w:val="both"/>
        <w:rPr>
          <w:lang w:val="sr-Cyrl-CS"/>
        </w:rPr>
      </w:pPr>
      <w:r>
        <w:t>Макензијева 41</w:t>
      </w:r>
    </w:p>
    <w:p w:rsidR="006B5CB5" w:rsidRPr="008F39DB" w:rsidRDefault="006B5CB5" w:rsidP="006B5CB5">
      <w:pPr>
        <w:ind w:right="-101"/>
        <w:jc w:val="both"/>
        <w:rPr>
          <w:lang w:val="sr-Cyrl-CS"/>
        </w:rPr>
      </w:pPr>
      <w:r>
        <w:rPr>
          <w:lang w:val="sr-Cyrl-CS"/>
        </w:rPr>
        <w:t>Београд</w:t>
      </w:r>
    </w:p>
    <w:p w:rsidR="006B5CB5" w:rsidRDefault="006B5CB5" w:rsidP="006B5CB5">
      <w:pPr>
        <w:ind w:right="-101"/>
        <w:jc w:val="both"/>
      </w:pPr>
    </w:p>
    <w:p w:rsidR="006B5CB5" w:rsidRPr="00331DC0" w:rsidRDefault="006B5CB5" w:rsidP="006B5CB5">
      <w:pPr>
        <w:ind w:right="-101"/>
        <w:jc w:val="both"/>
        <w:rPr>
          <w:b/>
        </w:rPr>
      </w:pPr>
      <w:r w:rsidRPr="00331DC0">
        <w:rPr>
          <w:b/>
        </w:rPr>
        <w:t>Повереник за информације од јавног значаја и заштиту података о личности</w:t>
      </w:r>
    </w:p>
    <w:p w:rsidR="006B5CB5" w:rsidRDefault="006B5CB5" w:rsidP="006B5CB5">
      <w:pPr>
        <w:ind w:right="-101"/>
        <w:jc w:val="both"/>
        <w:rPr>
          <w:lang w:val="sr-Cyrl-CS"/>
        </w:rPr>
      </w:pPr>
      <w:r>
        <w:t>Светозара Марковића 38</w:t>
      </w:r>
    </w:p>
    <w:p w:rsidR="006B5CB5" w:rsidRPr="008F39DB" w:rsidRDefault="006B5CB5" w:rsidP="006B5CB5">
      <w:pPr>
        <w:ind w:right="-101"/>
        <w:jc w:val="both"/>
        <w:rPr>
          <w:lang w:val="sr-Cyrl-CS"/>
        </w:rPr>
      </w:pPr>
      <w:r>
        <w:rPr>
          <w:lang w:val="sr-Cyrl-CS"/>
        </w:rPr>
        <w:t>Београд</w:t>
      </w:r>
    </w:p>
    <w:p w:rsidR="006B5CB5" w:rsidRDefault="006B5CB5" w:rsidP="006B5CB5">
      <w:pPr>
        <w:ind w:right="-101"/>
        <w:jc w:val="both"/>
      </w:pPr>
    </w:p>
    <w:p w:rsidR="006B5CB5" w:rsidRPr="00331DC0" w:rsidRDefault="006B5CB5" w:rsidP="006B5CB5">
      <w:pPr>
        <w:ind w:right="-101"/>
        <w:jc w:val="both"/>
        <w:rPr>
          <w:b/>
        </w:rPr>
      </w:pPr>
      <w:r w:rsidRPr="00331DC0">
        <w:rPr>
          <w:b/>
        </w:rPr>
        <w:t xml:space="preserve">Министарство финансија </w:t>
      </w:r>
    </w:p>
    <w:p w:rsidR="006B5CB5" w:rsidRDefault="006B5CB5" w:rsidP="006B5CB5">
      <w:pPr>
        <w:ind w:right="-101"/>
        <w:jc w:val="both"/>
        <w:rPr>
          <w:lang w:val="sr-Cyrl-CS"/>
        </w:rPr>
      </w:pPr>
      <w:r>
        <w:t>Кнеза Милоша 16-20</w:t>
      </w:r>
    </w:p>
    <w:p w:rsidR="006B5CB5" w:rsidRPr="008F39DB" w:rsidRDefault="006B5CB5" w:rsidP="006B5CB5">
      <w:pPr>
        <w:ind w:right="-101"/>
        <w:jc w:val="both"/>
        <w:rPr>
          <w:lang w:val="sr-Cyrl-CS"/>
        </w:rPr>
      </w:pPr>
      <w:r>
        <w:rPr>
          <w:lang w:val="sr-Cyrl-CS"/>
        </w:rPr>
        <w:t>Београд</w:t>
      </w:r>
    </w:p>
    <w:p w:rsidR="006B5CB5" w:rsidRDefault="006B5CB5" w:rsidP="006B5CB5">
      <w:pPr>
        <w:ind w:right="-101"/>
        <w:jc w:val="both"/>
      </w:pPr>
    </w:p>
    <w:p w:rsidR="006B5CB5" w:rsidRPr="00331DC0" w:rsidRDefault="006B5CB5" w:rsidP="006B5CB5">
      <w:pPr>
        <w:ind w:right="-101"/>
        <w:jc w:val="both"/>
        <w:rPr>
          <w:b/>
        </w:rPr>
      </w:pPr>
      <w:r w:rsidRPr="00331DC0">
        <w:rPr>
          <w:b/>
        </w:rPr>
        <w:t>Министарство за људска и мањинска права, државну управу и локалну самоуправу</w:t>
      </w:r>
    </w:p>
    <w:p w:rsidR="006B5CB5" w:rsidRDefault="006B5CB5" w:rsidP="006B5CB5">
      <w:pPr>
        <w:ind w:right="-101"/>
        <w:jc w:val="both"/>
        <w:rPr>
          <w:lang w:val="sr-Cyrl-CS"/>
        </w:rPr>
      </w:pPr>
      <w:r>
        <w:t xml:space="preserve">Бирчанинова </w:t>
      </w:r>
      <w:r>
        <w:rPr>
          <w:lang w:val="sr-Cyrl-CS"/>
        </w:rPr>
        <w:t>6</w:t>
      </w:r>
    </w:p>
    <w:p w:rsidR="006B5CB5" w:rsidRPr="008F39DB" w:rsidRDefault="006B5CB5" w:rsidP="006B5CB5">
      <w:pPr>
        <w:ind w:right="-101"/>
        <w:jc w:val="both"/>
        <w:rPr>
          <w:lang w:val="sr-Cyrl-CS"/>
        </w:rPr>
      </w:pPr>
      <w:r>
        <w:rPr>
          <w:lang w:val="sr-Cyrl-CS"/>
        </w:rPr>
        <w:t>Београд</w:t>
      </w:r>
    </w:p>
    <w:p w:rsidR="006B5CB5" w:rsidRDefault="006B5CB5" w:rsidP="006B5CB5">
      <w:pPr>
        <w:ind w:right="-101"/>
        <w:jc w:val="both"/>
      </w:pPr>
    </w:p>
    <w:p w:rsidR="006B5CB5" w:rsidRPr="00331DC0" w:rsidRDefault="006B5CB5" w:rsidP="006B5CB5">
      <w:pPr>
        <w:ind w:right="-101"/>
        <w:jc w:val="both"/>
        <w:rPr>
          <w:b/>
        </w:rPr>
      </w:pPr>
      <w:r w:rsidRPr="00331DC0">
        <w:rPr>
          <w:b/>
        </w:rPr>
        <w:t>Републичка изборна комисија</w:t>
      </w:r>
    </w:p>
    <w:p w:rsidR="006B5CB5" w:rsidRDefault="006B5CB5" w:rsidP="006B5CB5">
      <w:pPr>
        <w:ind w:right="-101"/>
        <w:jc w:val="both"/>
        <w:rPr>
          <w:lang w:val="sr-Cyrl-CS"/>
        </w:rPr>
      </w:pPr>
      <w:r>
        <w:t>Краља Милана 14</w:t>
      </w:r>
    </w:p>
    <w:p w:rsidR="006B5CB5" w:rsidRPr="008F39DB" w:rsidRDefault="006B5CB5" w:rsidP="006B5CB5">
      <w:pPr>
        <w:ind w:right="-101"/>
        <w:jc w:val="both"/>
        <w:rPr>
          <w:lang w:val="sr-Cyrl-CS"/>
        </w:rPr>
      </w:pPr>
      <w:r>
        <w:rPr>
          <w:lang w:val="sr-Cyrl-CS"/>
        </w:rPr>
        <w:t>Београд</w:t>
      </w:r>
    </w:p>
    <w:p w:rsidR="006B5CB5" w:rsidRDefault="006B5CB5" w:rsidP="006B5CB5">
      <w:pPr>
        <w:ind w:right="-101"/>
        <w:jc w:val="both"/>
      </w:pPr>
    </w:p>
    <w:p w:rsidR="006B5CB5" w:rsidRPr="00331DC0" w:rsidRDefault="006B5CB5" w:rsidP="006B5CB5">
      <w:pPr>
        <w:ind w:right="-101"/>
        <w:jc w:val="both"/>
        <w:rPr>
          <w:b/>
        </w:rPr>
      </w:pPr>
      <w:r w:rsidRPr="00331DC0">
        <w:rPr>
          <w:b/>
        </w:rPr>
        <w:t>Стална конференција градова и општина</w:t>
      </w:r>
    </w:p>
    <w:p w:rsidR="006B5CB5" w:rsidRPr="008F39DB" w:rsidRDefault="006B5CB5" w:rsidP="006B5CB5">
      <w:pPr>
        <w:ind w:right="-101"/>
        <w:jc w:val="both"/>
      </w:pPr>
      <w:r>
        <w:t xml:space="preserve">Македонска </w:t>
      </w:r>
      <w:r>
        <w:rPr>
          <w:lang w:val="sr-Cyrl-CS"/>
        </w:rPr>
        <w:t>22/</w:t>
      </w:r>
      <w:r>
        <w:t>VIII</w:t>
      </w:r>
    </w:p>
    <w:p w:rsidR="006B5CB5" w:rsidRPr="00157C2E" w:rsidRDefault="006B5CB5" w:rsidP="006B5CB5">
      <w:pPr>
        <w:ind w:right="-101"/>
        <w:jc w:val="both"/>
        <w:rPr>
          <w:lang w:val="sr-Cyrl-CS"/>
        </w:rPr>
      </w:pPr>
      <w:r w:rsidRPr="00157C2E">
        <w:rPr>
          <w:lang w:val="sr-Cyrl-CS"/>
        </w:rPr>
        <w:t>Београд</w:t>
      </w:r>
    </w:p>
    <w:p w:rsidR="00D81238" w:rsidRDefault="00D81238" w:rsidP="00D81238">
      <w:pPr>
        <w:jc w:val="both"/>
        <w:rPr>
          <w:lang w:val="ru-RU"/>
        </w:rPr>
      </w:pPr>
    </w:p>
    <w:p w:rsidR="00D81238" w:rsidRDefault="00D81238" w:rsidP="00D81238">
      <w:pPr>
        <w:jc w:val="both"/>
        <w:rPr>
          <w:lang w:val="ru-RU"/>
        </w:rPr>
      </w:pPr>
    </w:p>
    <w:p w:rsidR="00D81238" w:rsidRPr="00D81238" w:rsidRDefault="00D81238" w:rsidP="00D81238">
      <w:pPr>
        <w:jc w:val="both"/>
        <w:rPr>
          <w:b/>
          <w:lang w:val="ru-RU"/>
        </w:rPr>
      </w:pPr>
      <w:r w:rsidRPr="00D81238">
        <w:rPr>
          <w:b/>
          <w:lang w:val="ru-RU"/>
        </w:rPr>
        <w:t>У прилогу:</w:t>
      </w:r>
    </w:p>
    <w:p w:rsidR="00D81238" w:rsidRDefault="00D81238" w:rsidP="00D81238">
      <w:pPr>
        <w:jc w:val="both"/>
        <w:rPr>
          <w:lang w:val="ru-RU"/>
        </w:rPr>
      </w:pPr>
    </w:p>
    <w:p w:rsidR="00D81238" w:rsidRDefault="00D81238" w:rsidP="00D81238">
      <w:pPr>
        <w:jc w:val="both"/>
        <w:rPr>
          <w:lang w:val="ru-RU"/>
        </w:rPr>
      </w:pPr>
      <w:r>
        <w:rPr>
          <w:lang w:val="ru-RU"/>
        </w:rPr>
        <w:t>Збирни приказ издвајања из буџета локалних самоуправа</w:t>
      </w:r>
    </w:p>
    <w:p w:rsidR="00D81238" w:rsidRPr="00157C2E" w:rsidRDefault="00D81238" w:rsidP="00D81238">
      <w:pPr>
        <w:jc w:val="both"/>
        <w:rPr>
          <w:lang w:val="sr-Latn-CS"/>
        </w:rPr>
      </w:pPr>
      <w:r>
        <w:rPr>
          <w:lang w:val="ru-RU"/>
        </w:rPr>
        <w:t>Приказ издвајања из буџета локалних самоуправа за анализиране градове и општине</w:t>
      </w:r>
    </w:p>
    <w:sectPr w:rsidR="00D81238" w:rsidRPr="00157C2E" w:rsidSect="003A39E9">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063" w:rsidRDefault="00FC5063">
      <w:r>
        <w:separator/>
      </w:r>
    </w:p>
  </w:endnote>
  <w:endnote w:type="continuationSeparator" w:id="1">
    <w:p w:rsidR="00FC5063" w:rsidRDefault="00FC50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Pr="005A4E20" w:rsidRDefault="005A4E20" w:rsidP="005A4E20">
    <w:pPr>
      <w:pStyle w:val="Footer"/>
      <w:pBdr>
        <w:bottom w:val="single" w:sz="12" w:space="1" w:color="auto"/>
      </w:pBdr>
      <w:rPr>
        <w:rFonts w:ascii="Arial" w:hAnsi="Arial" w:cs="Arial"/>
        <w:lang w:val="sr-Latn-CS"/>
      </w:rPr>
    </w:pPr>
  </w:p>
  <w:p w:rsidR="00B42AB4" w:rsidRPr="00D603E3" w:rsidRDefault="00B42AB4" w:rsidP="00B42AB4">
    <w:pPr>
      <w:pStyle w:val="Footer"/>
      <w:ind w:right="360" w:firstLine="360"/>
      <w:jc w:val="center"/>
      <w:rPr>
        <w:rFonts w:ascii="Tahoma" w:hAnsi="Tahoma" w:cs="Tahoma"/>
        <w:sz w:val="16"/>
        <w:szCs w:val="16"/>
        <w:lang w:val="sr-Latn-CS"/>
      </w:rPr>
    </w:pPr>
    <w:r>
      <w:rPr>
        <w:rFonts w:ascii="Tahoma" w:hAnsi="Tahoma" w:cs="Tahoma"/>
        <w:sz w:val="16"/>
        <w:szCs w:val="16"/>
        <w:lang w:val="sr-Cyrl-BA"/>
      </w:rPr>
      <w:t>ТРАНСПАРЕНТНОСТ СРБИЈА</w:t>
    </w:r>
    <w:r w:rsidRPr="005A4E20">
      <w:rPr>
        <w:rFonts w:ascii="Tahoma" w:hAnsi="Tahoma" w:cs="Tahoma"/>
        <w:sz w:val="16"/>
        <w:szCs w:val="16"/>
        <w:lang w:val="sl-SI"/>
      </w:rPr>
      <w:t xml:space="preserve"> </w:t>
    </w:r>
    <w:r>
      <w:rPr>
        <w:rFonts w:ascii="Tahoma" w:hAnsi="Tahoma" w:cs="Tahoma"/>
        <w:sz w:val="16"/>
        <w:szCs w:val="16"/>
        <w:lang w:val="sl-SI"/>
      </w:rPr>
      <w:t xml:space="preserve">је </w:t>
    </w:r>
    <w:r>
      <w:rPr>
        <w:rFonts w:ascii="Tahoma" w:hAnsi="Tahoma" w:cs="Tahoma"/>
        <w:sz w:val="16"/>
        <w:szCs w:val="16"/>
      </w:rPr>
      <w:t>пуноправни</w:t>
    </w:r>
    <w:r w:rsidRPr="00D603E3">
      <w:rPr>
        <w:rFonts w:ascii="Tahoma" w:hAnsi="Tahoma" w:cs="Tahoma"/>
        <w:sz w:val="16"/>
        <w:szCs w:val="16"/>
        <w:lang w:val="sr-Latn-CS"/>
      </w:rPr>
      <w:t xml:space="preserve"> </w:t>
    </w:r>
    <w:r>
      <w:rPr>
        <w:rFonts w:ascii="Tahoma" w:hAnsi="Tahoma" w:cs="Tahoma"/>
        <w:sz w:val="16"/>
        <w:szCs w:val="16"/>
      </w:rPr>
      <w:t>члан</w:t>
    </w:r>
    <w:r w:rsidRPr="00D603E3">
      <w:rPr>
        <w:rFonts w:ascii="Tahoma" w:hAnsi="Tahoma" w:cs="Tahoma"/>
        <w:sz w:val="16"/>
        <w:szCs w:val="16"/>
        <w:lang w:val="sr-Latn-CS"/>
      </w:rPr>
      <w:t xml:space="preserve"> </w:t>
    </w:r>
    <w:r>
      <w:rPr>
        <w:rFonts w:ascii="Tahoma" w:hAnsi="Tahoma" w:cs="Tahoma"/>
        <w:sz w:val="16"/>
        <w:szCs w:val="16"/>
      </w:rPr>
      <w:t>глобалне</w:t>
    </w:r>
    <w:r w:rsidRPr="00D603E3">
      <w:rPr>
        <w:rFonts w:ascii="Tahoma" w:hAnsi="Tahoma" w:cs="Tahoma"/>
        <w:sz w:val="16"/>
        <w:szCs w:val="16"/>
        <w:lang w:val="sr-Latn-CS"/>
      </w:rPr>
      <w:t xml:space="preserve"> </w:t>
    </w:r>
    <w:r>
      <w:rPr>
        <w:rFonts w:ascii="Tahoma" w:hAnsi="Tahoma" w:cs="Tahoma"/>
        <w:sz w:val="16"/>
        <w:szCs w:val="16"/>
      </w:rPr>
      <w:t>мреже</w:t>
    </w:r>
    <w:r w:rsidRPr="00D603E3">
      <w:rPr>
        <w:rFonts w:ascii="Tahoma" w:hAnsi="Tahoma" w:cs="Tahoma"/>
        <w:sz w:val="16"/>
        <w:szCs w:val="16"/>
        <w:lang w:val="sr-Latn-CS"/>
      </w:rPr>
      <w:t xml:space="preserve"> </w:t>
    </w:r>
    <w:r w:rsidRPr="005A4E20">
      <w:rPr>
        <w:rFonts w:ascii="Tahoma" w:hAnsi="Tahoma" w:cs="Tahoma"/>
        <w:sz w:val="16"/>
        <w:szCs w:val="16"/>
        <w:lang w:val="sl-SI"/>
      </w:rPr>
      <w:t xml:space="preserve">TRANSPARENCY INTERNATIONAL </w:t>
    </w:r>
    <w:r>
      <w:rPr>
        <w:rFonts w:ascii="Tahoma" w:hAnsi="Tahoma" w:cs="Tahoma"/>
        <w:sz w:val="16"/>
        <w:szCs w:val="16"/>
      </w:rPr>
      <w:t>и</w:t>
    </w:r>
    <w:r w:rsidRPr="00D603E3">
      <w:rPr>
        <w:rFonts w:ascii="Tahoma" w:hAnsi="Tahoma" w:cs="Tahoma"/>
        <w:sz w:val="16"/>
        <w:szCs w:val="16"/>
        <w:lang w:val="sr-Latn-CS"/>
      </w:rPr>
      <w:t xml:space="preserve"> </w:t>
    </w:r>
    <w:r>
      <w:rPr>
        <w:rFonts w:ascii="Tahoma" w:hAnsi="Tahoma" w:cs="Tahoma"/>
        <w:sz w:val="16"/>
        <w:szCs w:val="16"/>
      </w:rPr>
      <w:t>њен</w:t>
    </w:r>
    <w:r w:rsidRPr="00D603E3">
      <w:rPr>
        <w:rFonts w:ascii="Tahoma" w:hAnsi="Tahoma" w:cs="Tahoma"/>
        <w:sz w:val="16"/>
        <w:szCs w:val="16"/>
        <w:lang w:val="sr-Latn-CS"/>
      </w:rPr>
      <w:t xml:space="preserve"> </w:t>
    </w:r>
    <w:r>
      <w:rPr>
        <w:rFonts w:ascii="Tahoma" w:hAnsi="Tahoma" w:cs="Tahoma"/>
        <w:sz w:val="16"/>
        <w:szCs w:val="16"/>
      </w:rPr>
      <w:t>акредитовани</w:t>
    </w:r>
    <w:r w:rsidRPr="00D603E3">
      <w:rPr>
        <w:rFonts w:ascii="Tahoma" w:hAnsi="Tahoma" w:cs="Tahoma"/>
        <w:sz w:val="16"/>
        <w:szCs w:val="16"/>
        <w:lang w:val="sr-Latn-CS"/>
      </w:rPr>
      <w:t xml:space="preserve"> </w:t>
    </w:r>
    <w:r>
      <w:rPr>
        <w:rFonts w:ascii="Tahoma" w:hAnsi="Tahoma" w:cs="Tahoma"/>
        <w:sz w:val="16"/>
        <w:szCs w:val="16"/>
      </w:rPr>
      <w:t>представник</w:t>
    </w:r>
    <w:r w:rsidRPr="00D603E3">
      <w:rPr>
        <w:rFonts w:ascii="Tahoma" w:hAnsi="Tahoma" w:cs="Tahoma"/>
        <w:sz w:val="16"/>
        <w:szCs w:val="16"/>
        <w:lang w:val="sr-Latn-CS"/>
      </w:rPr>
      <w:t xml:space="preserve"> </w:t>
    </w:r>
    <w:r>
      <w:rPr>
        <w:rFonts w:ascii="Tahoma" w:hAnsi="Tahoma" w:cs="Tahoma"/>
        <w:sz w:val="16"/>
        <w:szCs w:val="16"/>
        <w:lang w:val="sl-SI"/>
      </w:rPr>
      <w:t>у Републици Србији</w:t>
    </w:r>
    <w:r w:rsidRPr="00D603E3">
      <w:rPr>
        <w:rFonts w:ascii="Tahoma" w:hAnsi="Tahoma" w:cs="Tahoma"/>
        <w:sz w:val="16"/>
        <w:szCs w:val="16"/>
        <w:lang w:val="sr-Latn-CS"/>
      </w:rPr>
      <w:t xml:space="preserve"> </w:t>
    </w:r>
  </w:p>
  <w:p w:rsidR="005A4E20" w:rsidRPr="00D603E3" w:rsidRDefault="005A4E20" w:rsidP="00B42AB4">
    <w:pPr>
      <w:pStyle w:val="Footer"/>
      <w:ind w:right="360" w:firstLine="360"/>
      <w:jc w:val="center"/>
      <w:rPr>
        <w:lang w:val="sr-Latn-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063" w:rsidRDefault="00FC5063">
      <w:r>
        <w:separator/>
      </w:r>
    </w:p>
  </w:footnote>
  <w:footnote w:type="continuationSeparator" w:id="1">
    <w:p w:rsidR="00FC5063" w:rsidRDefault="00FC50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Default="00ED556D" w:rsidP="005A4E20">
    <w:pPr>
      <w:pStyle w:val="Header"/>
      <w:ind w:left="1440"/>
      <w:rPr>
        <w:rFonts w:ascii="Arial" w:hAnsi="Arial" w:cs="Arial"/>
        <w:b/>
        <w:iCs/>
        <w:caps/>
        <w:lang w:val="sr-Latn-CS"/>
      </w:rPr>
    </w:pPr>
    <w:r w:rsidRPr="00ED556D">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25pt;height:77.55pt;z-index:251658240" filled="f" strokecolor="white" strokeweight="0">
          <v:textbox style="mso-next-textbox:#_x0000_s2052">
            <w:txbxContent>
              <w:p w:rsidR="00D603E3" w:rsidRDefault="00F658D5" w:rsidP="005A4E20">
                <w:pPr>
                  <w:ind w:left="1440"/>
                  <w:jc w:val="right"/>
                  <w:rPr>
                    <w:rFonts w:ascii="Tahoma" w:hAnsi="Tahoma" w:cs="Tahoma"/>
                    <w:sz w:val="16"/>
                    <w:szCs w:val="16"/>
                    <w:lang w:val="sr-Cyrl-CS"/>
                  </w:rPr>
                </w:pPr>
                <w:r>
                  <w:rPr>
                    <w:rFonts w:ascii="Tahoma" w:hAnsi="Tahoma" w:cs="Tahoma"/>
                    <w:sz w:val="16"/>
                    <w:szCs w:val="16"/>
                    <w:lang w:val="sr-Latn-CS"/>
                  </w:rPr>
                  <w:t>Адреса</w:t>
                </w:r>
                <w:r w:rsidR="00D603E3">
                  <w:rPr>
                    <w:rFonts w:ascii="Tahoma" w:hAnsi="Tahoma" w:cs="Tahoma"/>
                    <w:sz w:val="16"/>
                    <w:szCs w:val="16"/>
                    <w:lang w:val="sr-Latn-CS"/>
                  </w:rPr>
                  <w:t>:</w:t>
                </w:r>
                <w:r w:rsidR="005A4E20" w:rsidRPr="005A4E20">
                  <w:rPr>
                    <w:rFonts w:ascii="Tahoma" w:hAnsi="Tahoma" w:cs="Tahoma"/>
                    <w:sz w:val="16"/>
                    <w:szCs w:val="16"/>
                    <w:lang w:val="sr-Latn-CS"/>
                  </w:rPr>
                  <w:t xml:space="preserve"> </w:t>
                </w:r>
                <w:r w:rsidR="00B826BD">
                  <w:rPr>
                    <w:rFonts w:ascii="Tahoma" w:hAnsi="Tahoma" w:cs="Tahoma"/>
                    <w:sz w:val="16"/>
                    <w:szCs w:val="16"/>
                    <w:lang w:val="sr-Cyrl-CS"/>
                  </w:rPr>
                  <w:t xml:space="preserve">Бул. </w:t>
                </w:r>
                <w:r w:rsidR="00B826BD">
                  <w:rPr>
                    <w:rFonts w:ascii="Tahoma" w:hAnsi="Tahoma" w:cs="Tahoma"/>
                    <w:sz w:val="16"/>
                    <w:szCs w:val="16"/>
                    <w:lang w:val="sr-Latn-CS"/>
                  </w:rPr>
                  <w:t>д</w:t>
                </w:r>
                <w:r w:rsidR="00D603E3">
                  <w:rPr>
                    <w:rFonts w:ascii="Tahoma" w:hAnsi="Tahoma" w:cs="Tahoma"/>
                    <w:sz w:val="16"/>
                    <w:szCs w:val="16"/>
                    <w:lang w:val="sr-Cyrl-CS"/>
                  </w:rPr>
                  <w:t>еспота Стефана</w:t>
                </w:r>
              </w:p>
              <w:p w:rsidR="005A4E20" w:rsidRPr="005A4E20" w:rsidRDefault="00D603E3" w:rsidP="005A4E20">
                <w:pPr>
                  <w:ind w:left="1440"/>
                  <w:jc w:val="right"/>
                  <w:rPr>
                    <w:rFonts w:ascii="Tahoma" w:hAnsi="Tahoma" w:cs="Tahoma"/>
                    <w:sz w:val="16"/>
                    <w:szCs w:val="16"/>
                    <w:lang w:val="sr-Latn-CS"/>
                  </w:rPr>
                </w:pPr>
                <w:r>
                  <w:rPr>
                    <w:rFonts w:ascii="Tahoma" w:hAnsi="Tahoma" w:cs="Tahoma"/>
                    <w:sz w:val="16"/>
                    <w:szCs w:val="16"/>
                    <w:lang w:val="sr-Cyrl-CS"/>
                  </w:rPr>
                  <w:t>(</w:t>
                </w:r>
                <w:r w:rsidR="005A4E20" w:rsidRPr="005A4E20">
                  <w:rPr>
                    <w:rFonts w:ascii="Tahoma" w:hAnsi="Tahoma" w:cs="Tahoma"/>
                    <w:sz w:val="16"/>
                    <w:szCs w:val="16"/>
                    <w:lang w:val="sr-Latn-CS"/>
                  </w:rPr>
                  <w:t xml:space="preserve">29. </w:t>
                </w:r>
                <w:r w:rsidR="00F658D5">
                  <w:rPr>
                    <w:rFonts w:ascii="Tahoma" w:hAnsi="Tahoma" w:cs="Tahoma"/>
                    <w:sz w:val="16"/>
                    <w:szCs w:val="16"/>
                    <w:lang w:val="sr-Latn-CS"/>
                  </w:rPr>
                  <w:t>Новембра</w:t>
                </w:r>
                <w:r>
                  <w:rPr>
                    <w:rFonts w:ascii="Tahoma" w:hAnsi="Tahoma" w:cs="Tahoma"/>
                    <w:sz w:val="16"/>
                    <w:szCs w:val="16"/>
                    <w:lang w:val="sr-Cyrl-CS"/>
                  </w:rPr>
                  <w:t>)</w:t>
                </w:r>
                <w:r w:rsidR="005A4E20" w:rsidRPr="005A4E20">
                  <w:rPr>
                    <w:rFonts w:ascii="Tahoma" w:hAnsi="Tahoma" w:cs="Tahoma"/>
                    <w:sz w:val="16"/>
                    <w:szCs w:val="16"/>
                    <w:lang w:val="sr-Latn-CS"/>
                  </w:rPr>
                  <w:t xml:space="preserve"> 36 / I</w:t>
                </w:r>
              </w:p>
              <w:p w:rsidR="005A4E20" w:rsidRPr="005A4E20" w:rsidRDefault="00F658D5" w:rsidP="005A4E20">
                <w:pPr>
                  <w:ind w:left="1440" w:firstLine="720"/>
                  <w:jc w:val="right"/>
                  <w:rPr>
                    <w:rFonts w:ascii="Tahoma" w:hAnsi="Tahoma" w:cs="Tahoma"/>
                    <w:sz w:val="16"/>
                    <w:szCs w:val="16"/>
                    <w:lang w:val="sr-Latn-CS"/>
                  </w:rPr>
                </w:pPr>
                <w:r>
                  <w:rPr>
                    <w:rFonts w:ascii="Tahoma" w:hAnsi="Tahoma" w:cs="Tahoma"/>
                    <w:sz w:val="16"/>
                    <w:szCs w:val="16"/>
                    <w:lang w:val="sr-Latn-CS"/>
                  </w:rPr>
                  <w:t xml:space="preserve">   11000 Београд</w:t>
                </w:r>
                <w:r w:rsidR="005A4E20" w:rsidRPr="005A4E20">
                  <w:rPr>
                    <w:rFonts w:ascii="Tahoma" w:hAnsi="Tahoma" w:cs="Tahoma"/>
                    <w:sz w:val="16"/>
                    <w:szCs w:val="16"/>
                    <w:lang w:val="sr-Latn-CS"/>
                  </w:rPr>
                  <w:t xml:space="preserve">, </w:t>
                </w:r>
                <w:r>
                  <w:rPr>
                    <w:rFonts w:ascii="Tahoma" w:hAnsi="Tahoma" w:cs="Tahoma"/>
                    <w:sz w:val="16"/>
                    <w:szCs w:val="16"/>
                    <w:lang w:val="sr-Latn-CS"/>
                  </w:rPr>
                  <w:t>Србија</w:t>
                </w:r>
              </w:p>
              <w:p w:rsidR="005A4E20" w:rsidRPr="005A4E20" w:rsidRDefault="00F658D5" w:rsidP="005A4E20">
                <w:pPr>
                  <w:ind w:left="1440"/>
                  <w:jc w:val="right"/>
                  <w:rPr>
                    <w:rFonts w:ascii="Tahoma" w:hAnsi="Tahoma" w:cs="Tahoma"/>
                    <w:sz w:val="16"/>
                    <w:szCs w:val="16"/>
                    <w:lang w:val="sr-Latn-CS"/>
                  </w:rPr>
                </w:pPr>
                <w:r>
                  <w:rPr>
                    <w:rFonts w:ascii="Tahoma" w:hAnsi="Tahoma" w:cs="Tahoma"/>
                    <w:sz w:val="16"/>
                    <w:szCs w:val="16"/>
                    <w:lang w:val="sr-Latn-CS"/>
                  </w:rPr>
                  <w:t xml:space="preserve">     Телефон</w:t>
                </w:r>
                <w:r w:rsidR="005A4E20" w:rsidRPr="005A4E20">
                  <w:rPr>
                    <w:rFonts w:ascii="Tahoma" w:hAnsi="Tahoma" w:cs="Tahoma"/>
                    <w:sz w:val="16"/>
                    <w:szCs w:val="16"/>
                    <w:lang w:val="sr-Latn-CS"/>
                  </w:rPr>
                  <w:t>:</w:t>
                </w:r>
                <w:r>
                  <w:rPr>
                    <w:rFonts w:ascii="Tahoma" w:hAnsi="Tahoma" w:cs="Tahoma"/>
                    <w:sz w:val="16"/>
                    <w:szCs w:val="16"/>
                    <w:lang w:val="sr-Latn-CS"/>
                  </w:rPr>
                  <w:t xml:space="preserve">    </w:t>
                </w:r>
                <w:r w:rsidR="005A4E20" w:rsidRPr="005A4E20">
                  <w:rPr>
                    <w:rFonts w:ascii="Tahoma" w:hAnsi="Tahoma" w:cs="Tahoma"/>
                    <w:sz w:val="16"/>
                    <w:szCs w:val="16"/>
                    <w:lang w:val="sr-Latn-CS"/>
                  </w:rPr>
                  <w:t>(+ 381 11) 303 38 27</w:t>
                </w:r>
              </w:p>
              <w:p w:rsidR="005A4E20" w:rsidRPr="005A4E20" w:rsidRDefault="00F658D5" w:rsidP="005A4E20">
                <w:pPr>
                  <w:ind w:left="1440"/>
                  <w:jc w:val="right"/>
                  <w:rPr>
                    <w:rFonts w:ascii="Tahoma" w:hAnsi="Tahoma" w:cs="Tahoma"/>
                    <w:sz w:val="16"/>
                    <w:szCs w:val="16"/>
                    <w:lang w:val="sr-Latn-CS"/>
                  </w:rPr>
                </w:pPr>
                <w:r>
                  <w:rPr>
                    <w:rFonts w:ascii="Tahoma" w:hAnsi="Tahoma" w:cs="Tahoma"/>
                    <w:sz w:val="16"/>
                    <w:szCs w:val="16"/>
                    <w:lang w:val="sr-Latn-CS"/>
                  </w:rPr>
                  <w:t>Факс</w:t>
                </w:r>
                <w:r w:rsidR="005A4E20" w:rsidRPr="005A4E20">
                  <w:rPr>
                    <w:rFonts w:ascii="Tahoma" w:hAnsi="Tahoma" w:cs="Tahoma"/>
                    <w:sz w:val="16"/>
                    <w:szCs w:val="16"/>
                    <w:lang w:val="sr-Latn-CS"/>
                  </w:rPr>
                  <w:t>:          (+ 381 11) 322 81 96</w:t>
                </w:r>
              </w:p>
              <w:p w:rsidR="00D603E3" w:rsidRDefault="005A4E20" w:rsidP="005A4E20">
                <w:pPr>
                  <w:ind w:left="1440"/>
                  <w:jc w:val="right"/>
                  <w:rPr>
                    <w:rFonts w:ascii="Tahoma" w:hAnsi="Tahoma" w:cs="Tahoma"/>
                    <w:sz w:val="16"/>
                    <w:szCs w:val="16"/>
                    <w:lang w:val="sr-Latn-CS"/>
                  </w:rPr>
                </w:pPr>
                <w:r w:rsidRPr="005A4E20">
                  <w:rPr>
                    <w:rFonts w:ascii="Tahoma" w:hAnsi="Tahoma" w:cs="Tahoma"/>
                    <w:sz w:val="16"/>
                    <w:szCs w:val="16"/>
                    <w:lang w:val="sr-Latn-CS"/>
                  </w:rPr>
                  <w:t xml:space="preserve">e-mail: </w:t>
                </w:r>
                <w:hyperlink r:id="rId1" w:history="1">
                  <w:r w:rsidR="00D603E3" w:rsidRPr="00795852">
                    <w:rPr>
                      <w:rStyle w:val="Hyperlink"/>
                      <w:rFonts w:ascii="Tahoma" w:hAnsi="Tahoma" w:cs="Tahoma"/>
                      <w:sz w:val="16"/>
                      <w:szCs w:val="16"/>
                      <w:lang w:val="sr-Latn-CS"/>
                    </w:rPr>
                    <w:t>ts@transparentnost.org.rs</w:t>
                  </w:r>
                </w:hyperlink>
              </w:p>
              <w:p w:rsidR="00B826BD" w:rsidRPr="00B826BD" w:rsidRDefault="00ED556D" w:rsidP="005A4E20">
                <w:pPr>
                  <w:ind w:left="1440"/>
                  <w:jc w:val="right"/>
                  <w:rPr>
                    <w:rFonts w:ascii="Tahoma" w:hAnsi="Tahoma" w:cs="Tahoma"/>
                    <w:sz w:val="16"/>
                    <w:szCs w:val="16"/>
                    <w:lang w:val="sr-Latn-CS"/>
                  </w:rPr>
                </w:pPr>
                <w:hyperlink r:id="rId2" w:history="1">
                  <w:r w:rsidR="00B826BD" w:rsidRPr="00BE7280">
                    <w:rPr>
                      <w:rStyle w:val="Hyperlink"/>
                      <w:rFonts w:ascii="Tahoma" w:hAnsi="Tahoma" w:cs="Tahoma"/>
                      <w:sz w:val="16"/>
                      <w:szCs w:val="16"/>
                      <w:lang w:val="sr-Latn-CS"/>
                    </w:rPr>
                    <w:t>www.transparentnost.org.rs</w:t>
                  </w:r>
                </w:hyperlink>
                <w:r w:rsidR="00B826BD">
                  <w:rPr>
                    <w:rFonts w:ascii="Tahoma" w:hAnsi="Tahoma" w:cs="Tahoma"/>
                    <w:sz w:val="16"/>
                    <w:szCs w:val="16"/>
                    <w:lang w:val="sr-Latn-CS"/>
                  </w:rPr>
                  <w:t xml:space="preserve"> </w:t>
                </w:r>
              </w:p>
              <w:p w:rsidR="00D603E3" w:rsidRDefault="00D603E3" w:rsidP="005A4E20">
                <w:pPr>
                  <w:ind w:left="1440"/>
                  <w:jc w:val="right"/>
                  <w:rPr>
                    <w:rFonts w:ascii="Tahoma" w:hAnsi="Tahoma" w:cs="Tahoma"/>
                    <w:sz w:val="16"/>
                    <w:szCs w:val="16"/>
                    <w:lang w:val="sr-Cyrl-CS"/>
                  </w:rPr>
                </w:pPr>
              </w:p>
              <w:p w:rsidR="00D603E3" w:rsidRPr="00D603E3" w:rsidRDefault="00D603E3" w:rsidP="005A4E20">
                <w:pPr>
                  <w:ind w:left="1440"/>
                  <w:jc w:val="right"/>
                  <w:rPr>
                    <w:rFonts w:ascii="Tahoma" w:hAnsi="Tahoma" w:cs="Tahoma"/>
                    <w:sz w:val="16"/>
                    <w:szCs w:val="16"/>
                    <w:lang w:val="sr-Cyrl-CS"/>
                  </w:rPr>
                </w:pPr>
              </w:p>
            </w:txbxContent>
          </v:textbox>
        </v:shape>
      </w:pict>
    </w:r>
    <w:r w:rsidR="008F39DB">
      <w:rPr>
        <w:rFonts w:ascii="Arial" w:hAnsi="Arial" w:cs="Arial"/>
        <w:b/>
        <w:caps/>
        <w:noProof/>
        <w:sz w:val="28"/>
        <w:szCs w:val="28"/>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3"/>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5A4E20" w:rsidRPr="00F658D5" w:rsidRDefault="00F658D5" w:rsidP="005A4E20">
    <w:pPr>
      <w:pStyle w:val="Header"/>
      <w:ind w:left="1440"/>
      <w:rPr>
        <w:rFonts w:ascii="Tahoma" w:eastAsia="Arial Unicode MS" w:hAnsi="Tahoma" w:cs="Tahoma"/>
        <w:b/>
        <w:iCs/>
        <w:caps/>
        <w:lang w:val="sr-Cyrl-BA"/>
      </w:rPr>
    </w:pPr>
    <w:r>
      <w:rPr>
        <w:rFonts w:ascii="Tahoma" w:eastAsia="Arial Unicode MS" w:hAnsi="Tahoma" w:cs="Tahoma"/>
        <w:b/>
        <w:iCs/>
        <w:caps/>
        <w:sz w:val="28"/>
        <w:szCs w:val="28"/>
        <w:lang w:val="sr-Cyrl-BA"/>
      </w:rPr>
      <w:t>ТРАНСПАРЕНТНОСТ</w:t>
    </w:r>
  </w:p>
  <w:p w:rsidR="005A4E20" w:rsidRPr="00327589" w:rsidRDefault="00F658D5" w:rsidP="00B826BD">
    <w:pPr>
      <w:pStyle w:val="Header"/>
      <w:pBdr>
        <w:bottom w:val="single" w:sz="12" w:space="29"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сРБИЈА</w:t>
    </w:r>
  </w:p>
  <w:p w:rsidR="005A4E20" w:rsidRPr="00327589" w:rsidRDefault="005A4E20" w:rsidP="005A4E20">
    <w:pPr>
      <w:rPr>
        <w:b/>
      </w:rPr>
    </w:pPr>
  </w:p>
  <w:p w:rsidR="005A4E20" w:rsidRDefault="005A4E20" w:rsidP="005A4E20">
    <w:pPr>
      <w:pStyle w:val="Header"/>
    </w:pPr>
  </w:p>
  <w:p w:rsidR="005A4E20" w:rsidRPr="005A4E20" w:rsidRDefault="005A4E20" w:rsidP="005A4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6DBF"/>
    <w:multiLevelType w:val="hybridMultilevel"/>
    <w:tmpl w:val="68A4F7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61C39"/>
    <w:multiLevelType w:val="hybridMultilevel"/>
    <w:tmpl w:val="1AAE02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397B5F"/>
    <w:multiLevelType w:val="multilevel"/>
    <w:tmpl w:val="9E02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726199"/>
    <w:multiLevelType w:val="hybridMultilevel"/>
    <w:tmpl w:val="D960E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1A7BAF"/>
    <w:multiLevelType w:val="hybridMultilevel"/>
    <w:tmpl w:val="57003418"/>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nsid w:val="5A96651A"/>
    <w:multiLevelType w:val="hybridMultilevel"/>
    <w:tmpl w:val="62921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0129BA"/>
    <w:multiLevelType w:val="hybridMultilevel"/>
    <w:tmpl w:val="0A4679B4"/>
    <w:lvl w:ilvl="0" w:tplc="BCCC64CC">
      <w:start w:val="1"/>
      <w:numFmt w:val="decimal"/>
      <w:lvlText w:val="%1."/>
      <w:lvlJc w:val="left"/>
      <w:pPr>
        <w:ind w:left="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740843"/>
    <w:multiLevelType w:val="hybridMultilevel"/>
    <w:tmpl w:val="3C0E2EBC"/>
    <w:lvl w:ilvl="0" w:tplc="BCCC64C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6FE44C61"/>
    <w:multiLevelType w:val="hybridMultilevel"/>
    <w:tmpl w:val="EC262DB6"/>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9">
    <w:nsid w:val="702A5521"/>
    <w:multiLevelType w:val="hybridMultilevel"/>
    <w:tmpl w:val="0FD0FA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771A646B"/>
    <w:multiLevelType w:val="hybridMultilevel"/>
    <w:tmpl w:val="023CF632"/>
    <w:lvl w:ilvl="0" w:tplc="A74815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C22092"/>
    <w:multiLevelType w:val="hybridMultilevel"/>
    <w:tmpl w:val="C0367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3"/>
  </w:num>
  <w:num w:numId="5">
    <w:abstractNumId w:val="8"/>
  </w:num>
  <w:num w:numId="6">
    <w:abstractNumId w:val="4"/>
  </w:num>
  <w:num w:numId="7">
    <w:abstractNumId w:val="10"/>
  </w:num>
  <w:num w:numId="8">
    <w:abstractNumId w:val="5"/>
  </w:num>
  <w:num w:numId="9">
    <w:abstractNumId w:val="0"/>
  </w:num>
  <w:num w:numId="10">
    <w:abstractNumId w:val="11"/>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5A4E20"/>
    <w:rsid w:val="00014176"/>
    <w:rsid w:val="00021344"/>
    <w:rsid w:val="00032C3D"/>
    <w:rsid w:val="00033C84"/>
    <w:rsid w:val="00041E2A"/>
    <w:rsid w:val="00043191"/>
    <w:rsid w:val="000459BF"/>
    <w:rsid w:val="00055739"/>
    <w:rsid w:val="000630AA"/>
    <w:rsid w:val="00071C1F"/>
    <w:rsid w:val="000806D9"/>
    <w:rsid w:val="00080A70"/>
    <w:rsid w:val="0009480A"/>
    <w:rsid w:val="00094829"/>
    <w:rsid w:val="000A5563"/>
    <w:rsid w:val="000C3237"/>
    <w:rsid w:val="000E06BE"/>
    <w:rsid w:val="000F3516"/>
    <w:rsid w:val="00104CA4"/>
    <w:rsid w:val="00122AB0"/>
    <w:rsid w:val="00157C2E"/>
    <w:rsid w:val="00174B43"/>
    <w:rsid w:val="001754BB"/>
    <w:rsid w:val="0017737D"/>
    <w:rsid w:val="00182689"/>
    <w:rsid w:val="001A336F"/>
    <w:rsid w:val="001B741E"/>
    <w:rsid w:val="001C17C2"/>
    <w:rsid w:val="001D0763"/>
    <w:rsid w:val="001D3752"/>
    <w:rsid w:val="001E5BF3"/>
    <w:rsid w:val="001E78B4"/>
    <w:rsid w:val="001F505C"/>
    <w:rsid w:val="00206150"/>
    <w:rsid w:val="00206318"/>
    <w:rsid w:val="00206DB4"/>
    <w:rsid w:val="00206EB8"/>
    <w:rsid w:val="00211656"/>
    <w:rsid w:val="00216F79"/>
    <w:rsid w:val="00220275"/>
    <w:rsid w:val="002221C8"/>
    <w:rsid w:val="00232174"/>
    <w:rsid w:val="0023605C"/>
    <w:rsid w:val="00244824"/>
    <w:rsid w:val="00246C49"/>
    <w:rsid w:val="00250666"/>
    <w:rsid w:val="00257B4F"/>
    <w:rsid w:val="00261F7F"/>
    <w:rsid w:val="00263676"/>
    <w:rsid w:val="00273567"/>
    <w:rsid w:val="002831ED"/>
    <w:rsid w:val="00283CB7"/>
    <w:rsid w:val="00291FD1"/>
    <w:rsid w:val="002B05EB"/>
    <w:rsid w:val="002B296E"/>
    <w:rsid w:val="002B5DD8"/>
    <w:rsid w:val="002E3400"/>
    <w:rsid w:val="002F70D8"/>
    <w:rsid w:val="00311018"/>
    <w:rsid w:val="0031327D"/>
    <w:rsid w:val="00316525"/>
    <w:rsid w:val="00321827"/>
    <w:rsid w:val="00331DC0"/>
    <w:rsid w:val="003429EF"/>
    <w:rsid w:val="0036230D"/>
    <w:rsid w:val="00363EDF"/>
    <w:rsid w:val="0036575A"/>
    <w:rsid w:val="00366FAE"/>
    <w:rsid w:val="003723E3"/>
    <w:rsid w:val="00391055"/>
    <w:rsid w:val="003A39E9"/>
    <w:rsid w:val="003A4299"/>
    <w:rsid w:val="003C3BFF"/>
    <w:rsid w:val="003C5A44"/>
    <w:rsid w:val="003D3730"/>
    <w:rsid w:val="003E6150"/>
    <w:rsid w:val="003F5DA1"/>
    <w:rsid w:val="004076A5"/>
    <w:rsid w:val="00410E62"/>
    <w:rsid w:val="00446465"/>
    <w:rsid w:val="004501C9"/>
    <w:rsid w:val="004653DA"/>
    <w:rsid w:val="004709E9"/>
    <w:rsid w:val="004923A7"/>
    <w:rsid w:val="004B1843"/>
    <w:rsid w:val="004B6A19"/>
    <w:rsid w:val="00502BB8"/>
    <w:rsid w:val="00504395"/>
    <w:rsid w:val="00520AE6"/>
    <w:rsid w:val="005334CC"/>
    <w:rsid w:val="00533F70"/>
    <w:rsid w:val="0055049C"/>
    <w:rsid w:val="005627A7"/>
    <w:rsid w:val="00565F67"/>
    <w:rsid w:val="00571637"/>
    <w:rsid w:val="00576656"/>
    <w:rsid w:val="005A0FE6"/>
    <w:rsid w:val="005A4E20"/>
    <w:rsid w:val="005A7390"/>
    <w:rsid w:val="005B4F60"/>
    <w:rsid w:val="005C447F"/>
    <w:rsid w:val="005D2EE9"/>
    <w:rsid w:val="005D4DEC"/>
    <w:rsid w:val="005F2123"/>
    <w:rsid w:val="00600484"/>
    <w:rsid w:val="00602008"/>
    <w:rsid w:val="00621335"/>
    <w:rsid w:val="006321F7"/>
    <w:rsid w:val="00632651"/>
    <w:rsid w:val="006333E8"/>
    <w:rsid w:val="00636BE2"/>
    <w:rsid w:val="0063797E"/>
    <w:rsid w:val="006511BF"/>
    <w:rsid w:val="006557C0"/>
    <w:rsid w:val="00664697"/>
    <w:rsid w:val="006708B7"/>
    <w:rsid w:val="006715D6"/>
    <w:rsid w:val="006863B5"/>
    <w:rsid w:val="006B5CB5"/>
    <w:rsid w:val="006C0810"/>
    <w:rsid w:val="006D1744"/>
    <w:rsid w:val="006D781C"/>
    <w:rsid w:val="006E32F2"/>
    <w:rsid w:val="006F7AC8"/>
    <w:rsid w:val="00722E45"/>
    <w:rsid w:val="00724909"/>
    <w:rsid w:val="00736521"/>
    <w:rsid w:val="00742A35"/>
    <w:rsid w:val="00751758"/>
    <w:rsid w:val="00752D29"/>
    <w:rsid w:val="00755B0C"/>
    <w:rsid w:val="00775FC1"/>
    <w:rsid w:val="007834CB"/>
    <w:rsid w:val="007A2A73"/>
    <w:rsid w:val="007B314E"/>
    <w:rsid w:val="007C02B9"/>
    <w:rsid w:val="007C0FB2"/>
    <w:rsid w:val="007C1DA0"/>
    <w:rsid w:val="007E0944"/>
    <w:rsid w:val="007E5C34"/>
    <w:rsid w:val="007F7C6E"/>
    <w:rsid w:val="00844657"/>
    <w:rsid w:val="008572E4"/>
    <w:rsid w:val="00881A2D"/>
    <w:rsid w:val="008A5977"/>
    <w:rsid w:val="008C5694"/>
    <w:rsid w:val="008D6944"/>
    <w:rsid w:val="008E2E83"/>
    <w:rsid w:val="008E4045"/>
    <w:rsid w:val="008F3346"/>
    <w:rsid w:val="008F39DB"/>
    <w:rsid w:val="009242CF"/>
    <w:rsid w:val="00932A0B"/>
    <w:rsid w:val="009339CF"/>
    <w:rsid w:val="00933E8A"/>
    <w:rsid w:val="00937072"/>
    <w:rsid w:val="00973EC2"/>
    <w:rsid w:val="00975834"/>
    <w:rsid w:val="00990A94"/>
    <w:rsid w:val="009A38C2"/>
    <w:rsid w:val="009A7DB9"/>
    <w:rsid w:val="009E2559"/>
    <w:rsid w:val="009E4191"/>
    <w:rsid w:val="00A20FAA"/>
    <w:rsid w:val="00A45A79"/>
    <w:rsid w:val="00A47E55"/>
    <w:rsid w:val="00A515EC"/>
    <w:rsid w:val="00A52EAE"/>
    <w:rsid w:val="00A61D6D"/>
    <w:rsid w:val="00A6253C"/>
    <w:rsid w:val="00A640C2"/>
    <w:rsid w:val="00A82CD4"/>
    <w:rsid w:val="00A965BB"/>
    <w:rsid w:val="00AA447C"/>
    <w:rsid w:val="00AB2094"/>
    <w:rsid w:val="00AB3EDC"/>
    <w:rsid w:val="00AB3FC2"/>
    <w:rsid w:val="00AC040C"/>
    <w:rsid w:val="00AD25BD"/>
    <w:rsid w:val="00AF2058"/>
    <w:rsid w:val="00B065A1"/>
    <w:rsid w:val="00B20350"/>
    <w:rsid w:val="00B32567"/>
    <w:rsid w:val="00B33BDC"/>
    <w:rsid w:val="00B35928"/>
    <w:rsid w:val="00B4231C"/>
    <w:rsid w:val="00B42AB4"/>
    <w:rsid w:val="00B530C0"/>
    <w:rsid w:val="00B612E0"/>
    <w:rsid w:val="00B61664"/>
    <w:rsid w:val="00B80C48"/>
    <w:rsid w:val="00B826BD"/>
    <w:rsid w:val="00B94C29"/>
    <w:rsid w:val="00B95B28"/>
    <w:rsid w:val="00B9786A"/>
    <w:rsid w:val="00BB3D7D"/>
    <w:rsid w:val="00BB4C35"/>
    <w:rsid w:val="00BC58F6"/>
    <w:rsid w:val="00BC6B82"/>
    <w:rsid w:val="00BD3EEA"/>
    <w:rsid w:val="00BD5148"/>
    <w:rsid w:val="00BE4168"/>
    <w:rsid w:val="00BE47B0"/>
    <w:rsid w:val="00BF2454"/>
    <w:rsid w:val="00BF69AA"/>
    <w:rsid w:val="00C12931"/>
    <w:rsid w:val="00C14486"/>
    <w:rsid w:val="00C1772E"/>
    <w:rsid w:val="00C4772B"/>
    <w:rsid w:val="00C9063B"/>
    <w:rsid w:val="00C949F8"/>
    <w:rsid w:val="00CA2BFB"/>
    <w:rsid w:val="00CB3A62"/>
    <w:rsid w:val="00CB409A"/>
    <w:rsid w:val="00CC59C8"/>
    <w:rsid w:val="00CD20AD"/>
    <w:rsid w:val="00CD4422"/>
    <w:rsid w:val="00CF767C"/>
    <w:rsid w:val="00D161F7"/>
    <w:rsid w:val="00D45431"/>
    <w:rsid w:val="00D57133"/>
    <w:rsid w:val="00D603E3"/>
    <w:rsid w:val="00D61746"/>
    <w:rsid w:val="00D6180E"/>
    <w:rsid w:val="00D67C45"/>
    <w:rsid w:val="00D81238"/>
    <w:rsid w:val="00D8622F"/>
    <w:rsid w:val="00D92538"/>
    <w:rsid w:val="00DB2728"/>
    <w:rsid w:val="00DB3CEE"/>
    <w:rsid w:val="00DC1F8E"/>
    <w:rsid w:val="00DC773E"/>
    <w:rsid w:val="00DC7D8E"/>
    <w:rsid w:val="00DE61F4"/>
    <w:rsid w:val="00DF1335"/>
    <w:rsid w:val="00E00798"/>
    <w:rsid w:val="00E07E59"/>
    <w:rsid w:val="00E35FF4"/>
    <w:rsid w:val="00E50BA0"/>
    <w:rsid w:val="00E87DA0"/>
    <w:rsid w:val="00EA23C3"/>
    <w:rsid w:val="00EA54C2"/>
    <w:rsid w:val="00EB1D48"/>
    <w:rsid w:val="00EB3ED9"/>
    <w:rsid w:val="00EC5B39"/>
    <w:rsid w:val="00ED556D"/>
    <w:rsid w:val="00EE3E83"/>
    <w:rsid w:val="00EE4229"/>
    <w:rsid w:val="00EF4383"/>
    <w:rsid w:val="00EF4A76"/>
    <w:rsid w:val="00EF4DF9"/>
    <w:rsid w:val="00F025BD"/>
    <w:rsid w:val="00F27450"/>
    <w:rsid w:val="00F27F1C"/>
    <w:rsid w:val="00F336FD"/>
    <w:rsid w:val="00F33D41"/>
    <w:rsid w:val="00F345CB"/>
    <w:rsid w:val="00F44D3B"/>
    <w:rsid w:val="00F47F06"/>
    <w:rsid w:val="00F55D8C"/>
    <w:rsid w:val="00F64277"/>
    <w:rsid w:val="00F658D5"/>
    <w:rsid w:val="00F8433E"/>
    <w:rsid w:val="00F931AB"/>
    <w:rsid w:val="00FC5063"/>
    <w:rsid w:val="00FC5CB7"/>
    <w:rsid w:val="00FE3643"/>
    <w:rsid w:val="00FF4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C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rsid w:val="005A4E20"/>
    <w:rPr>
      <w:color w:val="0000FF"/>
      <w:u w:val="single"/>
    </w:rPr>
  </w:style>
  <w:style w:type="paragraph" w:styleId="BalloonText">
    <w:name w:val="Balloon Text"/>
    <w:basedOn w:val="Normal"/>
    <w:semiHidden/>
    <w:rsid w:val="00BB4C35"/>
    <w:rPr>
      <w:rFonts w:ascii="Tahoma" w:hAnsi="Tahoma" w:cs="Tahoma"/>
      <w:sz w:val="16"/>
      <w:szCs w:val="16"/>
    </w:rPr>
  </w:style>
  <w:style w:type="paragraph" w:customStyle="1" w:styleId="clan">
    <w:name w:val="clan"/>
    <w:basedOn w:val="Normal"/>
    <w:rsid w:val="001C17C2"/>
    <w:pPr>
      <w:spacing w:before="240" w:after="120"/>
      <w:jc w:val="center"/>
    </w:pPr>
    <w:rPr>
      <w:rFonts w:ascii="Arial" w:hAnsi="Arial" w:cs="Arial"/>
      <w:b/>
      <w:bCs/>
      <w:lang w:val="sr-Latn-CS" w:eastAsia="sr-Latn-CS"/>
    </w:rPr>
  </w:style>
  <w:style w:type="paragraph" w:customStyle="1" w:styleId="normal0">
    <w:name w:val="normal"/>
    <w:basedOn w:val="Normal"/>
    <w:rsid w:val="001C17C2"/>
    <w:pPr>
      <w:spacing w:before="100" w:beforeAutospacing="1" w:after="100" w:afterAutospacing="1"/>
    </w:pPr>
    <w:rPr>
      <w:rFonts w:ascii="Arial" w:hAnsi="Arial" w:cs="Arial"/>
      <w:sz w:val="22"/>
      <w:szCs w:val="22"/>
      <w:lang w:val="sr-Latn-CS" w:eastAsia="sr-Latn-CS"/>
    </w:rPr>
  </w:style>
  <w:style w:type="paragraph" w:customStyle="1" w:styleId="wyq120---podnaslov-clana">
    <w:name w:val="wyq120---podnaslov-clana"/>
    <w:basedOn w:val="Normal"/>
    <w:rsid w:val="001C17C2"/>
    <w:pPr>
      <w:spacing w:before="240" w:after="240"/>
      <w:jc w:val="center"/>
    </w:pPr>
    <w:rPr>
      <w:rFonts w:ascii="Arial" w:hAnsi="Arial" w:cs="Arial"/>
      <w:i/>
      <w:iCs/>
      <w:lang w:val="sr-Latn-CS" w:eastAsia="sr-Latn-CS"/>
    </w:rPr>
  </w:style>
  <w:style w:type="paragraph" w:styleId="ListParagraph">
    <w:name w:val="List Paragraph"/>
    <w:basedOn w:val="Normal"/>
    <w:uiPriority w:val="34"/>
    <w:qFormat/>
    <w:rsid w:val="006557C0"/>
    <w:pPr>
      <w:ind w:left="720"/>
    </w:pPr>
  </w:style>
</w:styles>
</file>

<file path=word/webSettings.xml><?xml version="1.0" encoding="utf-8"?>
<w:webSettings xmlns:r="http://schemas.openxmlformats.org/officeDocument/2006/relationships" xmlns:w="http://schemas.openxmlformats.org/wordprocessingml/2006/main">
  <w:divs>
    <w:div w:id="360328210">
      <w:bodyDiv w:val="1"/>
      <w:marLeft w:val="0"/>
      <w:marRight w:val="0"/>
      <w:marTop w:val="0"/>
      <w:marBottom w:val="0"/>
      <w:divBdr>
        <w:top w:val="none" w:sz="0" w:space="0" w:color="auto"/>
        <w:left w:val="none" w:sz="0" w:space="0" w:color="auto"/>
        <w:bottom w:val="none" w:sz="0" w:space="0" w:color="auto"/>
        <w:right w:val="none" w:sz="0" w:space="0" w:color="auto"/>
      </w:divBdr>
      <w:divsChild>
        <w:div w:id="69887185">
          <w:marLeft w:val="0"/>
          <w:marRight w:val="0"/>
          <w:marTop w:val="0"/>
          <w:marBottom w:val="0"/>
          <w:divBdr>
            <w:top w:val="none" w:sz="0" w:space="0" w:color="auto"/>
            <w:left w:val="none" w:sz="0" w:space="0" w:color="auto"/>
            <w:bottom w:val="none" w:sz="0" w:space="0" w:color="auto"/>
            <w:right w:val="none" w:sz="0" w:space="0" w:color="auto"/>
          </w:divBdr>
        </w:div>
        <w:div w:id="110169631">
          <w:marLeft w:val="0"/>
          <w:marRight w:val="0"/>
          <w:marTop w:val="0"/>
          <w:marBottom w:val="0"/>
          <w:divBdr>
            <w:top w:val="none" w:sz="0" w:space="0" w:color="auto"/>
            <w:left w:val="none" w:sz="0" w:space="0" w:color="auto"/>
            <w:bottom w:val="none" w:sz="0" w:space="0" w:color="auto"/>
            <w:right w:val="none" w:sz="0" w:space="0" w:color="auto"/>
          </w:divBdr>
        </w:div>
        <w:div w:id="521208345">
          <w:marLeft w:val="0"/>
          <w:marRight w:val="0"/>
          <w:marTop w:val="0"/>
          <w:marBottom w:val="0"/>
          <w:divBdr>
            <w:top w:val="none" w:sz="0" w:space="0" w:color="auto"/>
            <w:left w:val="none" w:sz="0" w:space="0" w:color="auto"/>
            <w:bottom w:val="none" w:sz="0" w:space="0" w:color="auto"/>
            <w:right w:val="none" w:sz="0" w:space="0" w:color="auto"/>
          </w:divBdr>
        </w:div>
        <w:div w:id="696008297">
          <w:marLeft w:val="0"/>
          <w:marRight w:val="0"/>
          <w:marTop w:val="0"/>
          <w:marBottom w:val="0"/>
          <w:divBdr>
            <w:top w:val="none" w:sz="0" w:space="0" w:color="auto"/>
            <w:left w:val="none" w:sz="0" w:space="0" w:color="auto"/>
            <w:bottom w:val="none" w:sz="0" w:space="0" w:color="auto"/>
            <w:right w:val="none" w:sz="0" w:space="0" w:color="auto"/>
          </w:divBdr>
        </w:div>
        <w:div w:id="1008555675">
          <w:marLeft w:val="0"/>
          <w:marRight w:val="0"/>
          <w:marTop w:val="0"/>
          <w:marBottom w:val="0"/>
          <w:divBdr>
            <w:top w:val="none" w:sz="0" w:space="0" w:color="auto"/>
            <w:left w:val="none" w:sz="0" w:space="0" w:color="auto"/>
            <w:bottom w:val="none" w:sz="0" w:space="0" w:color="auto"/>
            <w:right w:val="none" w:sz="0" w:space="0" w:color="auto"/>
          </w:divBdr>
        </w:div>
        <w:div w:id="1174371951">
          <w:marLeft w:val="0"/>
          <w:marRight w:val="0"/>
          <w:marTop w:val="0"/>
          <w:marBottom w:val="0"/>
          <w:divBdr>
            <w:top w:val="none" w:sz="0" w:space="0" w:color="auto"/>
            <w:left w:val="none" w:sz="0" w:space="0" w:color="auto"/>
            <w:bottom w:val="none" w:sz="0" w:space="0" w:color="auto"/>
            <w:right w:val="none" w:sz="0" w:space="0" w:color="auto"/>
          </w:divBdr>
        </w:div>
        <w:div w:id="1176305677">
          <w:marLeft w:val="0"/>
          <w:marRight w:val="0"/>
          <w:marTop w:val="0"/>
          <w:marBottom w:val="0"/>
          <w:divBdr>
            <w:top w:val="none" w:sz="0" w:space="0" w:color="auto"/>
            <w:left w:val="none" w:sz="0" w:space="0" w:color="auto"/>
            <w:bottom w:val="none" w:sz="0" w:space="0" w:color="auto"/>
            <w:right w:val="none" w:sz="0" w:space="0" w:color="auto"/>
          </w:divBdr>
        </w:div>
        <w:div w:id="1230456753">
          <w:marLeft w:val="0"/>
          <w:marRight w:val="0"/>
          <w:marTop w:val="0"/>
          <w:marBottom w:val="0"/>
          <w:divBdr>
            <w:top w:val="none" w:sz="0" w:space="0" w:color="auto"/>
            <w:left w:val="none" w:sz="0" w:space="0" w:color="auto"/>
            <w:bottom w:val="none" w:sz="0" w:space="0" w:color="auto"/>
            <w:right w:val="none" w:sz="0" w:space="0" w:color="auto"/>
          </w:divBdr>
        </w:div>
        <w:div w:id="1279334372">
          <w:marLeft w:val="0"/>
          <w:marRight w:val="0"/>
          <w:marTop w:val="0"/>
          <w:marBottom w:val="0"/>
          <w:divBdr>
            <w:top w:val="none" w:sz="0" w:space="0" w:color="auto"/>
            <w:left w:val="none" w:sz="0" w:space="0" w:color="auto"/>
            <w:bottom w:val="none" w:sz="0" w:space="0" w:color="auto"/>
            <w:right w:val="none" w:sz="0" w:space="0" w:color="auto"/>
          </w:divBdr>
        </w:div>
        <w:div w:id="1303845247">
          <w:marLeft w:val="0"/>
          <w:marRight w:val="0"/>
          <w:marTop w:val="0"/>
          <w:marBottom w:val="0"/>
          <w:divBdr>
            <w:top w:val="none" w:sz="0" w:space="0" w:color="auto"/>
            <w:left w:val="none" w:sz="0" w:space="0" w:color="auto"/>
            <w:bottom w:val="none" w:sz="0" w:space="0" w:color="auto"/>
            <w:right w:val="none" w:sz="0" w:space="0" w:color="auto"/>
          </w:divBdr>
        </w:div>
        <w:div w:id="1622565104">
          <w:marLeft w:val="0"/>
          <w:marRight w:val="0"/>
          <w:marTop w:val="0"/>
          <w:marBottom w:val="0"/>
          <w:divBdr>
            <w:top w:val="none" w:sz="0" w:space="0" w:color="auto"/>
            <w:left w:val="none" w:sz="0" w:space="0" w:color="auto"/>
            <w:bottom w:val="none" w:sz="0" w:space="0" w:color="auto"/>
            <w:right w:val="none" w:sz="0" w:space="0" w:color="auto"/>
          </w:divBdr>
        </w:div>
        <w:div w:id="1665889383">
          <w:marLeft w:val="0"/>
          <w:marRight w:val="0"/>
          <w:marTop w:val="0"/>
          <w:marBottom w:val="0"/>
          <w:divBdr>
            <w:top w:val="none" w:sz="0" w:space="0" w:color="auto"/>
            <w:left w:val="none" w:sz="0" w:space="0" w:color="auto"/>
            <w:bottom w:val="none" w:sz="0" w:space="0" w:color="auto"/>
            <w:right w:val="none" w:sz="0" w:space="0" w:color="auto"/>
          </w:divBdr>
        </w:div>
        <w:div w:id="1860390608">
          <w:marLeft w:val="0"/>
          <w:marRight w:val="0"/>
          <w:marTop w:val="0"/>
          <w:marBottom w:val="0"/>
          <w:divBdr>
            <w:top w:val="none" w:sz="0" w:space="0" w:color="auto"/>
            <w:left w:val="none" w:sz="0" w:space="0" w:color="auto"/>
            <w:bottom w:val="none" w:sz="0" w:space="0" w:color="auto"/>
            <w:right w:val="none" w:sz="0" w:space="0" w:color="auto"/>
          </w:divBdr>
        </w:div>
        <w:div w:id="1879200016">
          <w:marLeft w:val="0"/>
          <w:marRight w:val="0"/>
          <w:marTop w:val="0"/>
          <w:marBottom w:val="0"/>
          <w:divBdr>
            <w:top w:val="none" w:sz="0" w:space="0" w:color="auto"/>
            <w:left w:val="none" w:sz="0" w:space="0" w:color="auto"/>
            <w:bottom w:val="none" w:sz="0" w:space="0" w:color="auto"/>
            <w:right w:val="none" w:sz="0" w:space="0" w:color="auto"/>
          </w:divBdr>
        </w:div>
        <w:div w:id="2049139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ransparentnost.org.rs" TargetMode="External"/><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Transparency Serbia</Company>
  <LinksUpToDate>false</LinksUpToDate>
  <CharactersWithSpaces>10954</CharactersWithSpaces>
  <SharedDoc>false</SharedDoc>
  <HLinks>
    <vt:vector size="12" baseType="variant">
      <vt:variant>
        <vt:i4>7536700</vt:i4>
      </vt:variant>
      <vt:variant>
        <vt:i4>3</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Bane</dc:creator>
  <cp:keywords/>
  <cp:lastModifiedBy>x4</cp:lastModifiedBy>
  <cp:revision>6</cp:revision>
  <cp:lastPrinted>2008-01-10T11:42:00Z</cp:lastPrinted>
  <dcterms:created xsi:type="dcterms:W3CDTF">2012-04-05T08:11:00Z</dcterms:created>
  <dcterms:modified xsi:type="dcterms:W3CDTF">2012-04-05T09:04:00Z</dcterms:modified>
</cp:coreProperties>
</file>